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5C035">
      <w:pPr>
        <w:spacing w:before="312" w:beforeLines="100" w:after="312" w:afterLines="100"/>
        <w:jc w:val="both"/>
        <w:rPr>
          <w:rFonts w:hint="default"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cs="宋体"/>
          <w:color w:val="000000" w:themeColor="text1"/>
          <w:sz w:val="32"/>
          <w:szCs w:val="32"/>
          <w:lang w:val="en-US" w:eastAsia="zh-CN"/>
          <w14:textFill>
            <w14:solidFill>
              <w14:schemeClr w14:val="tx1"/>
            </w14:solidFill>
          </w14:textFill>
        </w:rPr>
        <w:t>附件1</w:t>
      </w:r>
    </w:p>
    <w:p w14:paraId="6BC9138F">
      <w:pPr>
        <w:spacing w:before="312" w:beforeLines="100" w:after="312" w:afterLines="100"/>
        <w:jc w:val="center"/>
        <w:rPr>
          <w:rFonts w:ascii="方正小标宋简体" w:eastAsia="方正小标宋简体"/>
          <w:color w:val="000000" w:themeColor="text1"/>
          <w:sz w:val="36"/>
          <w:szCs w:val="36"/>
          <w14:textFill>
            <w14:solidFill>
              <w14:schemeClr w14:val="tx1"/>
            </w14:solidFill>
          </w14:textFill>
        </w:rPr>
      </w:pPr>
      <w:r>
        <w:rPr>
          <w:rFonts w:hint="eastAsia" w:ascii="方正小标宋简体" w:eastAsia="方正小标宋简体"/>
          <w:color w:val="000000" w:themeColor="text1"/>
          <w:sz w:val="36"/>
          <w:szCs w:val="36"/>
          <w14:textFill>
            <w14:solidFill>
              <w14:schemeClr w14:val="tx1"/>
            </w14:solidFill>
          </w14:textFill>
        </w:rPr>
        <w:t>信息工程学院推荐优秀应届本科毕业生</w:t>
      </w:r>
    </w:p>
    <w:p w14:paraId="3D206D5C">
      <w:pPr>
        <w:spacing w:before="312" w:beforeLines="100" w:after="312" w:afterLines="100"/>
        <w:jc w:val="center"/>
        <w:rPr>
          <w:rFonts w:ascii="方正小标宋简体" w:eastAsia="方正小标宋简体"/>
          <w:color w:val="000000" w:themeColor="text1"/>
          <w:sz w:val="36"/>
          <w:szCs w:val="36"/>
          <w14:textFill>
            <w14:solidFill>
              <w14:schemeClr w14:val="tx1"/>
            </w14:solidFill>
          </w14:textFill>
        </w:rPr>
      </w:pPr>
      <w:r>
        <w:rPr>
          <w:rFonts w:hint="eastAsia" w:ascii="方正小标宋简体" w:eastAsia="方正小标宋简体"/>
          <w:color w:val="000000" w:themeColor="text1"/>
          <w:sz w:val="36"/>
          <w:szCs w:val="36"/>
          <w14:textFill>
            <w14:solidFill>
              <w14:schemeClr w14:val="tx1"/>
            </w14:solidFill>
          </w14:textFill>
        </w:rPr>
        <w:t>免试攻读研究生实施细则</w:t>
      </w:r>
    </w:p>
    <w:p w14:paraId="05160712">
      <w:pPr>
        <w:snapToGrid w:val="0"/>
        <w:spacing w:line="360" w:lineRule="auto"/>
        <w:jc w:val="center"/>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第一章 总则</w:t>
      </w:r>
    </w:p>
    <w:p w14:paraId="19418D0B">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第一条</w:t>
      </w:r>
      <w:r>
        <w:rPr>
          <w:rFonts w:hint="eastAsia" w:eastAsia="仿宋_GB2312"/>
          <w:color w:val="000000" w:themeColor="text1"/>
          <w:sz w:val="28"/>
          <w:szCs w:val="28"/>
          <w14:textFill>
            <w14:solidFill>
              <w14:schemeClr w14:val="tx1"/>
            </w14:solidFill>
          </w14:textFill>
        </w:rPr>
        <w:t xml:space="preserve">  为进一步做好我院推荐优秀应届本科毕业生免试攻读研究生（以下简称推免）工作，根据教育部、陕西省教育厅和学校有关文件精神，结合学院学科建设工作，本着公平、公正、公开的原则，制定本办法。</w:t>
      </w:r>
    </w:p>
    <w:p w14:paraId="4A23066C">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第二条</w:t>
      </w:r>
      <w:r>
        <w:rPr>
          <w:rFonts w:hint="eastAsia" w:eastAsia="仿宋_GB2312"/>
          <w:color w:val="000000" w:themeColor="text1"/>
          <w:sz w:val="28"/>
          <w:szCs w:val="28"/>
          <w14:textFill>
            <w14:solidFill>
              <w14:schemeClr w14:val="tx1"/>
            </w14:solidFill>
          </w14:textFill>
        </w:rPr>
        <w:t xml:space="preserve">  本办法所称应届本科毕业生是指我校纳入国家普通本科招生计划录取的应届本科毕业生（不含第二学士学位学生）。</w:t>
      </w:r>
    </w:p>
    <w:p w14:paraId="69B79147">
      <w:pPr>
        <w:spacing w:line="360" w:lineRule="auto"/>
        <w:ind w:firstLine="562" w:firstLineChars="200"/>
        <w:jc w:val="center"/>
        <w:rPr>
          <w:rFonts w:ascii="黑体" w:eastAsia="黑体"/>
          <w:b/>
          <w:bCs/>
          <w:color w:val="000000" w:themeColor="text1"/>
          <w:sz w:val="28"/>
          <w:szCs w:val="28"/>
          <w14:textFill>
            <w14:solidFill>
              <w14:schemeClr w14:val="tx1"/>
            </w14:solidFill>
          </w14:textFill>
        </w:rPr>
      </w:pPr>
      <w:r>
        <w:rPr>
          <w:rFonts w:hint="eastAsia" w:ascii="黑体" w:eastAsia="黑体"/>
          <w:b/>
          <w:bCs/>
          <w:color w:val="000000" w:themeColor="text1"/>
          <w:sz w:val="28"/>
          <w:szCs w:val="28"/>
          <w14:textFill>
            <w14:solidFill>
              <w14:schemeClr w14:val="tx1"/>
            </w14:solidFill>
          </w14:textFill>
        </w:rPr>
        <w:t>第二章  组织机构</w:t>
      </w:r>
    </w:p>
    <w:p w14:paraId="5883B00A">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第三条</w:t>
      </w:r>
      <w:r>
        <w:rPr>
          <w:rFonts w:hint="eastAsia" w:eastAsia="仿宋_GB2312"/>
          <w:color w:val="000000" w:themeColor="text1"/>
          <w:sz w:val="28"/>
          <w:szCs w:val="28"/>
          <w14:textFill>
            <w14:solidFill>
              <w14:schemeClr w14:val="tx1"/>
            </w14:solidFill>
          </w14:textFill>
        </w:rPr>
        <w:t xml:space="preserve">  成立推免生遴选工作小组，下设思想政治品德考核组、学业考核组、</w:t>
      </w:r>
      <w:r>
        <w:rPr>
          <w:rFonts w:ascii="Times New Roman" w:hAnsi="Times New Roman" w:eastAsia="仿宋_GB2312" w:cs="Times New Roman"/>
          <w:color w:val="000000" w:themeColor="text1"/>
          <w:sz w:val="28"/>
          <w:szCs w:val="28"/>
          <w:shd w:val="clear" w:color="auto" w:fill="auto"/>
          <w14:textFill>
            <w14:solidFill>
              <w14:schemeClr w14:val="tx1"/>
            </w14:solidFill>
          </w14:textFill>
        </w:rPr>
        <w:t>材料审核组</w:t>
      </w:r>
      <w:r>
        <w:rPr>
          <w:rFonts w:hint="eastAsia" w:ascii="Times New Roman" w:hAnsi="Times New Roman" w:eastAsia="仿宋_GB2312" w:cs="Times New Roman"/>
          <w:color w:val="000000" w:themeColor="text1"/>
          <w:sz w:val="28"/>
          <w:szCs w:val="28"/>
          <w:shd w:val="clear" w:color="auto" w:fill="auto"/>
          <w14:textFill>
            <w14:solidFill>
              <w14:schemeClr w14:val="tx1"/>
            </w14:solidFill>
          </w14:textFill>
        </w:rPr>
        <w:t>、</w:t>
      </w:r>
      <w:r>
        <w:rPr>
          <w:rFonts w:ascii="Times New Roman" w:hAnsi="Times New Roman" w:eastAsia="仿宋_GB2312" w:cs="Times New Roman"/>
          <w:color w:val="000000" w:themeColor="text1"/>
          <w:sz w:val="28"/>
          <w:szCs w:val="28"/>
          <w:shd w:val="clear" w:color="auto" w:fill="auto"/>
          <w14:textFill>
            <w14:solidFill>
              <w14:schemeClr w14:val="tx1"/>
            </w14:solidFill>
          </w14:textFill>
        </w:rPr>
        <w:t>综合考查组</w:t>
      </w:r>
      <w:r>
        <w:rPr>
          <w:rFonts w:hint="eastAsia" w:eastAsia="仿宋_GB2312"/>
          <w:color w:val="000000" w:themeColor="text1"/>
          <w:sz w:val="28"/>
          <w:szCs w:val="28"/>
          <w14:textFill>
            <w14:solidFill>
              <w14:schemeClr w14:val="tx1"/>
            </w14:solidFill>
          </w14:textFill>
        </w:rPr>
        <w:t>和监督工作组。</w:t>
      </w:r>
    </w:p>
    <w:p w14:paraId="71FD5A37">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 xml:space="preserve">第四条 </w:t>
      </w:r>
      <w:r>
        <w:rPr>
          <w:rFonts w:eastAsia="仿宋_GB2312"/>
          <w:b/>
          <w:bCs/>
          <w:color w:val="000000" w:themeColor="text1"/>
          <w:sz w:val="28"/>
          <w:szCs w:val="28"/>
          <w14:textFill>
            <w14:solidFill>
              <w14:schemeClr w14:val="tx1"/>
            </w14:solidFill>
          </w14:textFill>
        </w:rPr>
        <w:t xml:space="preserve"> </w:t>
      </w:r>
      <w:r>
        <w:rPr>
          <w:rFonts w:hint="eastAsia" w:eastAsia="仿宋_GB2312"/>
          <w:color w:val="000000" w:themeColor="text1"/>
          <w:sz w:val="28"/>
          <w:szCs w:val="28"/>
          <w14:textFill>
            <w14:solidFill>
              <w14:schemeClr w14:val="tx1"/>
            </w14:solidFill>
          </w14:textFill>
        </w:rPr>
        <w:t>推免生遴选工作小组，组长由院长和书记担任，成员</w:t>
      </w:r>
      <w:r>
        <w:rPr>
          <w:rFonts w:hint="eastAsia" w:eastAsia="仿宋_GB2312"/>
          <w:color w:val="auto"/>
          <w:sz w:val="28"/>
          <w:szCs w:val="28"/>
        </w:rPr>
        <w:t>由分管研究生、本科教学、科研的副院长，分管学生工作的副书记，院党委纪检委员，</w:t>
      </w:r>
      <w:r>
        <w:rPr>
          <w:rFonts w:hint="eastAsia" w:eastAsia="仿宋_GB2312"/>
          <w:color w:val="000000" w:themeColor="text1"/>
          <w:sz w:val="28"/>
          <w:szCs w:val="28"/>
          <w14:textFill>
            <w14:solidFill>
              <w14:schemeClr w14:val="tx1"/>
            </w14:solidFill>
          </w14:textFill>
        </w:rPr>
        <w:t>党政综合办、研究生办、本科教学办、学工办负责人、各系主任、学位授予点负责人、导师代表等组成。全面负责学院推免生遴选工作。</w:t>
      </w:r>
    </w:p>
    <w:p w14:paraId="4D635365">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第五条</w:t>
      </w:r>
      <w:r>
        <w:rPr>
          <w:rFonts w:hint="eastAsia" w:eastAsia="仿宋_GB2312"/>
          <w:color w:val="000000" w:themeColor="text1"/>
          <w:sz w:val="28"/>
          <w:szCs w:val="28"/>
          <w14:textFill>
            <w14:solidFill>
              <w14:schemeClr w14:val="tx1"/>
            </w14:solidFill>
          </w14:textFill>
        </w:rPr>
        <w:t xml:space="preserve">  思想政治品德考核组，由分管学生工作的副书记担任组长，成员由学生工作办公室人员组成。具体负责组织入选推免生的心理测试、思想政治品德考核实施细则的制定，实施考核工作。</w:t>
      </w:r>
    </w:p>
    <w:p w14:paraId="082BF67F">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第六条</w:t>
      </w:r>
      <w:r>
        <w:rPr>
          <w:rFonts w:hint="eastAsia" w:eastAsia="仿宋_GB2312"/>
          <w:color w:val="000000" w:themeColor="text1"/>
          <w:sz w:val="28"/>
          <w:szCs w:val="28"/>
          <w14:textFill>
            <w14:solidFill>
              <w14:schemeClr w14:val="tx1"/>
            </w14:solidFill>
          </w14:textFill>
        </w:rPr>
        <w:t xml:space="preserve">  学业考核组，组长由分管本科教学的副院长担任，成员由本科教学办公室工作人员组成。具体负责入选推免生的学业成绩评分、外语等级评定和创新能力评定等项的实施细则制定和考核工作。</w:t>
      </w:r>
    </w:p>
    <w:p w14:paraId="26B8EF66">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第七条</w:t>
      </w:r>
      <w:r>
        <w:rPr>
          <w:rFonts w:hint="eastAsia" w:eastAsia="仿宋_GB2312"/>
          <w:color w:val="000000" w:themeColor="text1"/>
          <w:sz w:val="28"/>
          <w:szCs w:val="28"/>
          <w14:textFill>
            <w14:solidFill>
              <w14:schemeClr w14:val="tx1"/>
            </w14:solidFill>
          </w14:textFill>
        </w:rPr>
        <w:t xml:space="preserve">  </w:t>
      </w:r>
      <w:r>
        <w:rPr>
          <w:rFonts w:ascii="Times New Roman" w:hAnsi="Times New Roman" w:eastAsia="仿宋_GB2312" w:cs="Times New Roman"/>
          <w:color w:val="000000" w:themeColor="text1"/>
          <w:sz w:val="28"/>
          <w:szCs w:val="28"/>
          <w:shd w:val="clear" w:color="auto" w:fill="auto"/>
          <w14:textFill>
            <w14:solidFill>
              <w14:schemeClr w14:val="tx1"/>
            </w14:solidFill>
          </w14:textFill>
        </w:rPr>
        <w:t>材料审核组，组长由分管研究生副院长担任，成员由研究生办、本科教学办工作人员及不少于3名相关学科领域副教授以上职称专家组成。负责对学生提交的高水平科研创新成果、竞赛奖项等的真实性、原创性进行审核鉴定。对于联合参赛、与指导教师联合发表论文等成果，须要求相关学生出具指导教师本人撰写并签名的推荐信，客观陈述学生在联合成果中的实际贡献，排除抄袭、造假、冒名、有名无实等情况后给出明确审核意见并签字存档。</w:t>
      </w:r>
    </w:p>
    <w:p w14:paraId="4424F6AB">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 xml:space="preserve">第八条  </w:t>
      </w:r>
      <w:r>
        <w:rPr>
          <w:rFonts w:hint="eastAsia" w:eastAsia="仿宋_GB2312"/>
          <w:color w:val="000000" w:themeColor="text1"/>
          <w:sz w:val="28"/>
          <w:szCs w:val="28"/>
          <w14:textFill>
            <w14:solidFill>
              <w14:schemeClr w14:val="tx1"/>
            </w14:solidFill>
          </w14:textFill>
        </w:rPr>
        <w:t>综合考查组，组长由分管研究生的副院长担任，成员由各学位授权点负责人、</w:t>
      </w:r>
      <w:r>
        <w:rPr>
          <w:rFonts w:hint="eastAsia" w:eastAsia="仿宋_GB2312"/>
          <w:color w:val="000000" w:themeColor="text1"/>
          <w:sz w:val="28"/>
          <w:szCs w:val="28"/>
          <w:lang w:val="en-US" w:eastAsia="zh-CN"/>
          <w14:textFill>
            <w14:solidFill>
              <w14:schemeClr w14:val="tx1"/>
            </w14:solidFill>
          </w14:textFill>
        </w:rPr>
        <w:t>导师代表、</w:t>
      </w:r>
      <w:r>
        <w:rPr>
          <w:rFonts w:hint="eastAsia" w:eastAsia="仿宋_GB2312"/>
          <w:color w:val="000000" w:themeColor="text1"/>
          <w:sz w:val="28"/>
          <w:szCs w:val="28"/>
          <w14:textFill>
            <w14:solidFill>
              <w14:schemeClr w14:val="tx1"/>
            </w14:solidFill>
          </w14:textFill>
        </w:rPr>
        <w:t>研究生办公室工作人员组成。负责制定综合考查细则，选聘评定专家，组织推免生进行专家评定工作，负责推免生考核成绩汇总、排序，根据遴选指标数确定推免生名单；负责推免生名单公示和上报研究生院。</w:t>
      </w:r>
    </w:p>
    <w:p w14:paraId="505AA8FA">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第九条</w:t>
      </w:r>
      <w:r>
        <w:rPr>
          <w:rFonts w:hint="eastAsia" w:eastAsia="仿宋_GB2312"/>
          <w:color w:val="000000" w:themeColor="text1"/>
          <w:sz w:val="28"/>
          <w:szCs w:val="28"/>
          <w14:textFill>
            <w14:solidFill>
              <w14:schemeClr w14:val="tx1"/>
            </w14:solidFill>
          </w14:textFill>
        </w:rPr>
        <w:t xml:space="preserve">  监督工作组，组长由学院负责人担任，成员由学院党委纪检委员、党务秘书和导师代表组成。负责制定学院监督管理细则，监督推免生遴选，受理本单位有关申诉及违纪、违规行为的调查处理，确保推免工作的公平、公正、公开。</w:t>
      </w:r>
    </w:p>
    <w:p w14:paraId="529BCAC9">
      <w:pPr>
        <w:snapToGrid w:val="0"/>
        <w:spacing w:line="360" w:lineRule="auto"/>
        <w:ind w:firstLine="562" w:firstLineChars="200"/>
        <w:jc w:val="center"/>
        <w:rPr>
          <w:rFonts w:ascii="黑体" w:eastAsia="黑体"/>
          <w:b/>
          <w:bCs/>
          <w:color w:val="000000" w:themeColor="text1"/>
          <w:sz w:val="28"/>
          <w:szCs w:val="28"/>
          <w14:textFill>
            <w14:solidFill>
              <w14:schemeClr w14:val="tx1"/>
            </w14:solidFill>
          </w14:textFill>
        </w:rPr>
      </w:pPr>
      <w:r>
        <w:rPr>
          <w:rFonts w:hint="eastAsia" w:ascii="黑体" w:eastAsia="黑体"/>
          <w:b/>
          <w:bCs/>
          <w:color w:val="000000" w:themeColor="text1"/>
          <w:sz w:val="28"/>
          <w:szCs w:val="28"/>
          <w14:textFill>
            <w14:solidFill>
              <w14:schemeClr w14:val="tx1"/>
            </w14:solidFill>
          </w14:textFill>
        </w:rPr>
        <w:t>第三章  遴选条件</w:t>
      </w:r>
    </w:p>
    <w:p w14:paraId="449BC4BF">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第十条</w:t>
      </w:r>
      <w:r>
        <w:rPr>
          <w:rFonts w:hint="eastAsia" w:eastAsia="仿宋_GB2312"/>
          <w:color w:val="000000" w:themeColor="text1"/>
          <w:sz w:val="28"/>
          <w:szCs w:val="28"/>
          <w14:textFill>
            <w14:solidFill>
              <w14:schemeClr w14:val="tx1"/>
            </w14:solidFill>
          </w14:textFill>
        </w:rPr>
        <w:t xml:space="preserve">  推免生遴选基本条件如下：</w:t>
      </w:r>
    </w:p>
    <w:p w14:paraId="3F5D37D8">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1.拥护中国共产党的领导和社会主义制度，具有高尚的爱国主义情操和集体主义精神，社会责任感强，遵纪守法，积极向上，身心健康。</w:t>
      </w:r>
    </w:p>
    <w:p w14:paraId="3BAF0948">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2.诚实守信，学风端正，品行优良，无考试作弊或剽窃他人学术成果等学术不端行为。</w:t>
      </w:r>
    </w:p>
    <w:p w14:paraId="09259211">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3.获得本科前三学年应修课程全部学分，且课程学分成绩排名在专业年级前 50%。</w:t>
      </w:r>
    </w:p>
    <w:p w14:paraId="2FB4F55B">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4.外语成绩：全国英语四级考试成绩在 425 分及以上或外语小语种四级成绩在 60 分及以上。</w:t>
      </w:r>
    </w:p>
    <w:p w14:paraId="5417503E">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5.具有从事科学研究志向，具有较强的创新意识、创新潜质和创新能力。</w:t>
      </w:r>
    </w:p>
    <w:p w14:paraId="720F17B7">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6.所属专业培养方案指定的专业课程不得有重修</w:t>
      </w:r>
      <w:r>
        <w:rPr>
          <w:rFonts w:hint="eastAsia" w:eastAsia="仿宋_GB2312"/>
          <w:color w:val="000000" w:themeColor="text1"/>
          <w:sz w:val="28"/>
          <w:szCs w:val="28"/>
          <w:lang w:eastAsia="zh-CN"/>
          <w14:textFill>
            <w14:solidFill>
              <w14:schemeClr w14:val="tx1"/>
            </w14:solidFill>
          </w14:textFill>
        </w:rPr>
        <w:t>（</w:t>
      </w:r>
      <w:r>
        <w:rPr>
          <w:rFonts w:hint="eastAsia" w:eastAsia="仿宋_GB2312"/>
          <w:color w:val="000000" w:themeColor="text1"/>
          <w:sz w:val="28"/>
          <w:szCs w:val="28"/>
          <w:lang w:val="en-US" w:eastAsia="zh-CN"/>
          <w14:textFill>
            <w14:solidFill>
              <w14:schemeClr w14:val="tx1"/>
            </w14:solidFill>
          </w14:textFill>
        </w:rPr>
        <w:t>符合《西北农林科技大学征兵工作管理办法》校党发〔2021〕143号中第18条者除外</w:t>
      </w:r>
      <w:r>
        <w:rPr>
          <w:rFonts w:hint="eastAsia" w:eastAsia="仿宋_GB2312"/>
          <w:color w:val="000000" w:themeColor="text1"/>
          <w:sz w:val="28"/>
          <w:szCs w:val="28"/>
          <w:lang w:eastAsia="zh-CN"/>
          <w14:textFill>
            <w14:solidFill>
              <w14:schemeClr w14:val="tx1"/>
            </w14:solidFill>
          </w14:textFill>
        </w:rPr>
        <w:t>）</w:t>
      </w:r>
      <w:r>
        <w:rPr>
          <w:rFonts w:hint="eastAsia" w:eastAsia="仿宋_GB2312"/>
          <w:color w:val="000000" w:themeColor="text1"/>
          <w:sz w:val="28"/>
          <w:szCs w:val="28"/>
          <w14:textFill>
            <w14:solidFill>
              <w14:schemeClr w14:val="tx1"/>
            </w14:solidFill>
          </w14:textFill>
        </w:rPr>
        <w:t>，须参加科研潜质考核评价，</w:t>
      </w:r>
      <w:r>
        <w:rPr>
          <w:rFonts w:hint="eastAsia" w:eastAsia="仿宋_GB2312"/>
          <w:color w:val="000000" w:themeColor="text1"/>
          <w:sz w:val="28"/>
          <w:szCs w:val="28"/>
          <w:lang w:val="en-US" w:eastAsia="zh-CN"/>
          <w14:textFill>
            <w14:solidFill>
              <w14:schemeClr w14:val="tx1"/>
            </w14:solidFill>
          </w14:textFill>
        </w:rPr>
        <w:t>并</w:t>
      </w:r>
      <w:r>
        <w:rPr>
          <w:rFonts w:hint="eastAsia" w:eastAsia="仿宋_GB2312"/>
          <w:color w:val="000000" w:themeColor="text1"/>
          <w:sz w:val="28"/>
          <w:szCs w:val="28"/>
          <w14:textFill>
            <w14:solidFill>
              <w14:schemeClr w14:val="tx1"/>
            </w14:solidFill>
          </w14:textFill>
        </w:rPr>
        <w:t>取得科研潜质考核成绩。</w:t>
      </w:r>
    </w:p>
    <w:p w14:paraId="32292A5A">
      <w:pPr>
        <w:snapToGrid w:val="0"/>
        <w:spacing w:line="360" w:lineRule="auto"/>
        <w:ind w:firstLine="562" w:firstLineChars="200"/>
        <w:jc w:val="center"/>
        <w:rPr>
          <w:rFonts w:ascii="黑体" w:eastAsia="黑体"/>
          <w:b/>
          <w:bCs/>
          <w:color w:val="000000" w:themeColor="text1"/>
          <w:sz w:val="28"/>
          <w:szCs w:val="28"/>
          <w14:textFill>
            <w14:solidFill>
              <w14:schemeClr w14:val="tx1"/>
            </w14:solidFill>
          </w14:textFill>
        </w:rPr>
      </w:pPr>
      <w:r>
        <w:rPr>
          <w:rFonts w:hint="eastAsia" w:ascii="黑体" w:eastAsia="黑体"/>
          <w:b/>
          <w:bCs/>
          <w:color w:val="000000" w:themeColor="text1"/>
          <w:sz w:val="28"/>
          <w:szCs w:val="28"/>
          <w14:textFill>
            <w14:solidFill>
              <w14:schemeClr w14:val="tx1"/>
            </w14:solidFill>
          </w14:textFill>
        </w:rPr>
        <w:t>第四章  推免指标</w:t>
      </w:r>
    </w:p>
    <w:p w14:paraId="2FF9F3EF">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第十</w:t>
      </w:r>
      <w:r>
        <w:rPr>
          <w:rFonts w:hint="eastAsia" w:eastAsia="仿宋_GB2312"/>
          <w:b/>
          <w:bCs/>
          <w:color w:val="000000" w:themeColor="text1"/>
          <w:sz w:val="28"/>
          <w:szCs w:val="28"/>
          <w14:textFill>
            <w14:solidFill>
              <w14:schemeClr w14:val="tx1"/>
            </w14:solidFill>
          </w14:textFill>
        </w:rPr>
        <w:t>一</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推荐指标分为专项推荐指标和普通推荐指标。</w:t>
      </w:r>
    </w:p>
    <w:p w14:paraId="58764B74">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1.专项推荐指标包括：研究生支教团指标、</w:t>
      </w:r>
      <w:r>
        <w:rPr>
          <w:rFonts w:hint="eastAsia" w:eastAsia="仿宋_GB2312"/>
          <w:color w:val="000000" w:themeColor="text1"/>
          <w:sz w:val="28"/>
          <w:szCs w:val="28"/>
          <w14:textFill>
            <w14:solidFill>
              <w14:schemeClr w14:val="tx1"/>
            </w14:solidFill>
          </w14:textFill>
        </w:rPr>
        <w:t>工程硕博士</w:t>
      </w:r>
      <w:r>
        <w:rPr>
          <w:rFonts w:eastAsia="仿宋_GB2312"/>
          <w:color w:val="000000" w:themeColor="text1"/>
          <w:sz w:val="28"/>
          <w:szCs w:val="28"/>
          <w14:textFill>
            <w14:solidFill>
              <w14:schemeClr w14:val="tx1"/>
            </w14:solidFill>
          </w14:textFill>
        </w:rPr>
        <w:t>指标、</w:t>
      </w:r>
      <w:r>
        <w:rPr>
          <w:rFonts w:hint="eastAsia" w:eastAsia="仿宋_GB2312"/>
          <w:color w:val="000000" w:themeColor="text1"/>
          <w:sz w:val="28"/>
          <w:szCs w:val="28"/>
          <w14:textFill>
            <w14:solidFill>
              <w14:schemeClr w14:val="tx1"/>
            </w14:solidFill>
          </w14:textFill>
        </w:rPr>
        <w:t>国家级基础学科拔尖学生培养基地指标、</w:t>
      </w:r>
      <w:r>
        <w:rPr>
          <w:rFonts w:eastAsia="仿宋_GB2312"/>
          <w:color w:val="000000" w:themeColor="text1"/>
          <w:sz w:val="28"/>
          <w:szCs w:val="28"/>
          <w14:textFill>
            <w14:solidFill>
              <w14:schemeClr w14:val="tx1"/>
            </w14:solidFill>
          </w14:textFill>
        </w:rPr>
        <w:t>“双一流”学科群指标、拔尖创新人才计划指标、卓越农林人才计划指标、</w:t>
      </w:r>
      <w:r>
        <w:rPr>
          <w:rFonts w:hint="eastAsia" w:eastAsia="仿宋_GB2312"/>
          <w:color w:val="000000" w:themeColor="text1"/>
          <w:sz w:val="28"/>
          <w:szCs w:val="28"/>
          <w14:textFill>
            <w14:solidFill>
              <w14:schemeClr w14:val="tx1"/>
            </w14:solidFill>
          </w14:textFill>
        </w:rPr>
        <w:t>学术</w:t>
      </w:r>
      <w:r>
        <w:rPr>
          <w:rFonts w:eastAsia="仿宋_GB2312"/>
          <w:color w:val="000000" w:themeColor="text1"/>
          <w:sz w:val="28"/>
          <w:szCs w:val="28"/>
          <w14:textFill>
            <w14:solidFill>
              <w14:schemeClr w14:val="tx1"/>
            </w14:solidFill>
          </w14:textFill>
        </w:rPr>
        <w:t>特长生指标、2+3辅导员指标、推免工作奖励指标等。</w:t>
      </w:r>
    </w:p>
    <w:p w14:paraId="1C7C15F3">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2.普通推荐指标：指除专项以外的指标。按照各专业应届毕业本科生人数比例分配推免生指标。</w:t>
      </w:r>
    </w:p>
    <w:p w14:paraId="491F834F">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第十</w:t>
      </w:r>
      <w:r>
        <w:rPr>
          <w:rFonts w:hint="eastAsia" w:eastAsia="仿宋_GB2312"/>
          <w:b/>
          <w:bCs/>
          <w:color w:val="000000" w:themeColor="text1"/>
          <w:sz w:val="28"/>
          <w:szCs w:val="28"/>
          <w14:textFill>
            <w14:solidFill>
              <w14:schemeClr w14:val="tx1"/>
            </w14:solidFill>
          </w14:textFill>
        </w:rPr>
        <w:t>二</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推荐指标由学校核拨，学院按照学校当年核拨给</w:t>
      </w:r>
      <w:r>
        <w:rPr>
          <w:rFonts w:hint="eastAsia" w:eastAsia="仿宋_GB2312"/>
          <w:color w:val="000000" w:themeColor="text1"/>
          <w:sz w:val="28"/>
          <w:szCs w:val="28"/>
          <w14:textFill>
            <w14:solidFill>
              <w14:schemeClr w14:val="tx1"/>
            </w14:solidFill>
          </w14:textFill>
        </w:rPr>
        <w:t>学</w:t>
      </w:r>
      <w:r>
        <w:rPr>
          <w:rFonts w:eastAsia="仿宋_GB2312"/>
          <w:color w:val="000000" w:themeColor="text1"/>
          <w:sz w:val="28"/>
          <w:szCs w:val="28"/>
          <w14:textFill>
            <w14:solidFill>
              <w14:schemeClr w14:val="tx1"/>
            </w14:solidFill>
          </w14:textFill>
        </w:rPr>
        <w:t>院的专项推荐指标、普通推荐指标数，分别组织实施。</w:t>
      </w:r>
    </w:p>
    <w:p w14:paraId="5AD129B7">
      <w:pPr>
        <w:snapToGrid w:val="0"/>
        <w:spacing w:line="360" w:lineRule="auto"/>
        <w:ind w:firstLine="562" w:firstLineChars="200"/>
        <w:jc w:val="center"/>
        <w:rPr>
          <w:rFonts w:ascii="黑体" w:eastAsia="黑体"/>
          <w:b/>
          <w:bCs/>
          <w:color w:val="000000" w:themeColor="text1"/>
          <w:sz w:val="28"/>
          <w:szCs w:val="28"/>
          <w14:textFill>
            <w14:solidFill>
              <w14:schemeClr w14:val="tx1"/>
            </w14:solidFill>
          </w14:textFill>
        </w:rPr>
      </w:pPr>
      <w:r>
        <w:rPr>
          <w:rFonts w:hint="eastAsia" w:ascii="黑体" w:eastAsia="黑体"/>
          <w:b/>
          <w:bCs/>
          <w:color w:val="000000" w:themeColor="text1"/>
          <w:sz w:val="28"/>
          <w:szCs w:val="28"/>
          <w14:textFill>
            <w14:solidFill>
              <w14:schemeClr w14:val="tx1"/>
            </w14:solidFill>
          </w14:textFill>
        </w:rPr>
        <w:t>第五章  资格确定</w:t>
      </w:r>
    </w:p>
    <w:p w14:paraId="131D53E0">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第十</w:t>
      </w:r>
      <w:r>
        <w:rPr>
          <w:rFonts w:hint="eastAsia" w:eastAsia="仿宋_GB2312"/>
          <w:b/>
          <w:bCs/>
          <w:color w:val="000000" w:themeColor="text1"/>
          <w:sz w:val="28"/>
          <w:szCs w:val="28"/>
          <w14:textFill>
            <w14:solidFill>
              <w14:schemeClr w14:val="tx1"/>
            </w14:solidFill>
          </w14:textFill>
        </w:rPr>
        <w:t>三</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符合推荐条件且申请推荐资格的学生，学院从思想政治品德、学业成绩、科研潜质三个方面进行综合考核。考核总成绩满分为 100 分，其中思想政治品德考核成绩占总成绩的10%、学业成绩占总成绩的 40%、科研潜质考核成绩占总成绩的50%。</w:t>
      </w:r>
    </w:p>
    <w:p w14:paraId="25D7832D">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总成绩的计算公式为：综合考核成绩（ 100 分）=思想政治品德考核成绩 × 10%+学业成绩</w:t>
      </w:r>
      <w:r>
        <w:rPr>
          <w:rFonts w:hint="eastAsia" w:eastAsia="仿宋_GB2312"/>
          <w:color w:val="000000" w:themeColor="text1"/>
          <w:sz w:val="28"/>
          <w:szCs w:val="28"/>
          <w14:textFill>
            <w14:solidFill>
              <w14:schemeClr w14:val="tx1"/>
            </w14:solidFill>
          </w14:textFill>
        </w:rPr>
        <w:t xml:space="preserve"> </w:t>
      </w:r>
      <w:r>
        <w:rPr>
          <w:rFonts w:eastAsia="仿宋_GB2312"/>
          <w:color w:val="000000" w:themeColor="text1"/>
          <w:sz w:val="28"/>
          <w:szCs w:val="28"/>
          <w14:textFill>
            <w14:solidFill>
              <w14:schemeClr w14:val="tx1"/>
            </w14:solidFill>
          </w14:textFill>
        </w:rPr>
        <w:t>× 40%+科研潜质考核成绩</w:t>
      </w:r>
      <w:r>
        <w:rPr>
          <w:rFonts w:hint="eastAsia" w:eastAsia="仿宋_GB2312"/>
          <w:color w:val="000000" w:themeColor="text1"/>
          <w:sz w:val="28"/>
          <w:szCs w:val="28"/>
          <w14:textFill>
            <w14:solidFill>
              <w14:schemeClr w14:val="tx1"/>
            </w14:solidFill>
          </w14:textFill>
        </w:rPr>
        <w:t xml:space="preserve"> </w:t>
      </w:r>
      <w:r>
        <w:rPr>
          <w:rFonts w:eastAsia="仿宋_GB2312"/>
          <w:color w:val="000000" w:themeColor="text1"/>
          <w:sz w:val="28"/>
          <w:szCs w:val="28"/>
          <w14:textFill>
            <w14:solidFill>
              <w14:schemeClr w14:val="tx1"/>
            </w14:solidFill>
          </w14:textFill>
        </w:rPr>
        <w:t>× 50%。</w:t>
      </w:r>
    </w:p>
    <w:p w14:paraId="6EBCBA40">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第十</w:t>
      </w:r>
      <w:r>
        <w:rPr>
          <w:rFonts w:hint="eastAsia" w:eastAsia="仿宋_GB2312"/>
          <w:b/>
          <w:bCs/>
          <w:color w:val="000000" w:themeColor="text1"/>
          <w:sz w:val="28"/>
          <w:szCs w:val="28"/>
          <w14:textFill>
            <w14:solidFill>
              <w14:schemeClr w14:val="tx1"/>
            </w14:solidFill>
          </w14:textFill>
        </w:rPr>
        <w:t>四</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思想政治品德考核</w:t>
      </w:r>
      <w:r>
        <w:rPr>
          <w:rFonts w:hint="eastAsia" w:eastAsia="仿宋_GB2312"/>
          <w:color w:val="000000" w:themeColor="text1"/>
          <w:sz w:val="28"/>
          <w:szCs w:val="28"/>
          <w14:textFill>
            <w14:solidFill>
              <w14:schemeClr w14:val="tx1"/>
            </w14:solidFill>
          </w14:textFill>
        </w:rPr>
        <w:t>。</w:t>
      </w:r>
      <w:r>
        <w:rPr>
          <w:rFonts w:eastAsia="仿宋_GB2312"/>
          <w:color w:val="000000" w:themeColor="text1"/>
          <w:sz w:val="28"/>
          <w:szCs w:val="28"/>
          <w14:textFill>
            <w14:solidFill>
              <w14:schemeClr w14:val="tx1"/>
            </w14:solidFill>
          </w14:textFill>
        </w:rPr>
        <w:t>思想政治品德考核成绩（A）满分为 100 分，由思政课成绩与综合测评德育成绩两部分组成，各占 50%。其中，思政课成绩为大学期间所有思政课成绩的加权平均分（满分 100 分）、综合测评德育成绩为各学年综合测评德育成绩的算术平均分（满分 100分）。</w:t>
      </w:r>
    </w:p>
    <w:p w14:paraId="003ED246">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思想政治品德考核成绩 60 分及以上的学生方具备推免生遴选资格。核算办法如下：</w:t>
      </w:r>
    </w:p>
    <w:p w14:paraId="0F00979A">
      <w:pPr>
        <w:snapToGrid w:val="0"/>
        <w:spacing w:line="360" w:lineRule="auto"/>
        <w:ind w:firstLine="420" w:firstLineChars="200"/>
        <w:rPr>
          <w:rFonts w:eastAsia="仿宋_GB2312"/>
          <w:color w:val="000000" w:themeColor="text1"/>
          <w:sz w:val="28"/>
          <w:szCs w:val="28"/>
          <w14:textFill>
            <w14:solidFill>
              <w14:schemeClr w14:val="tx1"/>
            </w14:solidFill>
          </w14:textFill>
        </w:rPr>
      </w:pPr>
      <w:r>
        <w:rPr>
          <w:position w:val="-26"/>
        </w:rPr>
        <w:drawing>
          <wp:inline distT="0" distB="0" distL="0" distR="0">
            <wp:extent cx="4501515" cy="696595"/>
            <wp:effectExtent l="0" t="0" r="9525" b="4445"/>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5"/>
                    <a:stretch>
                      <a:fillRect/>
                    </a:stretch>
                  </pic:blipFill>
                  <pic:spPr>
                    <a:xfrm>
                      <a:off x="0" y="0"/>
                      <a:ext cx="4501515" cy="696595"/>
                    </a:xfrm>
                    <a:prstGeom prst="rect">
                      <a:avLst/>
                    </a:prstGeom>
                  </pic:spPr>
                </pic:pic>
              </a:graphicData>
            </a:graphic>
          </wp:inline>
        </w:drawing>
      </w:r>
    </w:p>
    <w:p w14:paraId="40FDD8AE">
      <w:p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第十</w:t>
      </w:r>
      <w:r>
        <w:rPr>
          <w:rFonts w:hint="eastAsia" w:eastAsia="仿宋_GB2312"/>
          <w:b/>
          <w:bCs/>
          <w:color w:val="000000" w:themeColor="text1"/>
          <w:sz w:val="28"/>
          <w:szCs w:val="28"/>
          <w14:textFill>
            <w14:solidFill>
              <w14:schemeClr w14:val="tx1"/>
            </w14:solidFill>
          </w14:textFill>
        </w:rPr>
        <w:t>五</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学业成绩考核</w:t>
      </w:r>
      <w:r>
        <w:rPr>
          <w:rFonts w:hint="eastAsia" w:eastAsia="仿宋_GB2312"/>
          <w:color w:val="000000" w:themeColor="text1"/>
          <w:sz w:val="28"/>
          <w:szCs w:val="28"/>
          <w14:textFill>
            <w14:solidFill>
              <w14:schemeClr w14:val="tx1"/>
            </w14:solidFill>
          </w14:textFill>
        </w:rPr>
        <w:t>。</w:t>
      </w:r>
      <w:r>
        <w:rPr>
          <w:rFonts w:eastAsia="仿宋_GB2312"/>
          <w:color w:val="000000" w:themeColor="text1"/>
          <w:sz w:val="28"/>
          <w:szCs w:val="28"/>
          <w14:textFill>
            <w14:solidFill>
              <w14:schemeClr w14:val="tx1"/>
            </w14:solidFill>
          </w14:textFill>
        </w:rPr>
        <w:t>学业成绩满分为 100 分，以</w:t>
      </w:r>
      <w:r>
        <w:rPr>
          <w:rFonts w:hint="eastAsia" w:eastAsia="仿宋_GB2312"/>
          <w:color w:val="000000" w:themeColor="text1"/>
          <w:sz w:val="28"/>
          <w:szCs w:val="28"/>
          <w:lang w:val="en-US" w:eastAsia="zh-CN"/>
          <w14:textFill>
            <w14:solidFill>
              <w14:schemeClr w14:val="tx1"/>
            </w14:solidFill>
          </w14:textFill>
        </w:rPr>
        <w:t>本科</w:t>
      </w:r>
      <w:r>
        <w:rPr>
          <w:rFonts w:eastAsia="仿宋_GB2312"/>
          <w:color w:val="000000" w:themeColor="text1"/>
          <w:sz w:val="28"/>
          <w:szCs w:val="28"/>
          <w14:textFill>
            <w14:solidFill>
              <w14:schemeClr w14:val="tx1"/>
            </w14:solidFill>
          </w14:textFill>
        </w:rPr>
        <w:t>前三学年</w:t>
      </w:r>
      <w:r>
        <w:rPr>
          <w:rFonts w:hint="eastAsia" w:eastAsia="仿宋_GB2312"/>
          <w:color w:val="000000" w:themeColor="text1"/>
          <w:sz w:val="28"/>
          <w:szCs w:val="28"/>
          <w:lang w:val="en-US" w:eastAsia="zh-CN"/>
          <w14:textFill>
            <w14:solidFill>
              <w14:schemeClr w14:val="tx1"/>
            </w14:solidFill>
          </w14:textFill>
        </w:rPr>
        <w:t>应修课程全部</w:t>
      </w:r>
      <w:r>
        <w:rPr>
          <w:rFonts w:eastAsia="仿宋_GB2312"/>
          <w:color w:val="000000" w:themeColor="text1"/>
          <w:sz w:val="28"/>
          <w:szCs w:val="28"/>
          <w14:textFill>
            <w14:solidFill>
              <w14:schemeClr w14:val="tx1"/>
            </w14:solidFill>
          </w14:textFill>
        </w:rPr>
        <w:t>学分成绩计（学分成绩从教务系统导出），小数点后保留两位。</w:t>
      </w:r>
    </w:p>
    <w:p w14:paraId="58A48C97">
      <w:pPr>
        <w:snapToGrid w:val="0"/>
        <w:spacing w:line="360" w:lineRule="auto"/>
        <w:ind w:firstLine="562" w:firstLineChars="200"/>
        <w:rPr>
          <w:rFonts w:ascii="Segoe UI" w:hAnsi="Segoe UI" w:eastAsia="仿宋_GB2312" w:cs="Segoe UI"/>
          <w:color w:val="000000" w:themeColor="text1"/>
          <w:sz w:val="28"/>
          <w:szCs w:val="28"/>
          <w14:textFill>
            <w14:solidFill>
              <w14:schemeClr w14:val="tx1"/>
            </w14:solidFill>
          </w14:textFill>
        </w:rPr>
      </w:pPr>
      <w:r>
        <w:rPr>
          <w:rFonts w:ascii="Segoe UI" w:hAnsi="Segoe UI" w:eastAsia="仿宋_GB2312" w:cs="Segoe UI"/>
          <w:b/>
          <w:bCs/>
          <w:color w:val="000000" w:themeColor="text1"/>
          <w:sz w:val="28"/>
          <w:szCs w:val="28"/>
          <w:shd w:val="clear" w:color="auto" w:fill="FFFFFF"/>
          <w14:textFill>
            <w14:solidFill>
              <w14:schemeClr w14:val="tx1"/>
            </w14:solidFill>
          </w14:textFill>
        </w:rPr>
        <w:t>第十</w:t>
      </w:r>
      <w:r>
        <w:rPr>
          <w:rFonts w:hint="eastAsia" w:ascii="Segoe UI" w:hAnsi="Segoe UI" w:eastAsia="仿宋_GB2312" w:cs="Segoe UI"/>
          <w:b/>
          <w:bCs/>
          <w:color w:val="000000" w:themeColor="text1"/>
          <w:sz w:val="28"/>
          <w:szCs w:val="28"/>
          <w:shd w:val="clear" w:color="auto" w:fill="FFFFFF"/>
          <w14:textFill>
            <w14:solidFill>
              <w14:schemeClr w14:val="tx1"/>
            </w14:solidFill>
          </w14:textFill>
        </w:rPr>
        <w:t>六</w:t>
      </w:r>
      <w:r>
        <w:rPr>
          <w:rFonts w:ascii="Segoe UI" w:hAnsi="Segoe UI" w:eastAsia="仿宋_GB2312" w:cs="Segoe UI"/>
          <w:b/>
          <w:bCs/>
          <w:color w:val="000000" w:themeColor="text1"/>
          <w:sz w:val="28"/>
          <w:szCs w:val="28"/>
          <w:shd w:val="clear" w:color="auto" w:fill="FFFFFF"/>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w:t>
      </w:r>
      <w:r>
        <w:rPr>
          <w:rFonts w:ascii="Segoe UI" w:hAnsi="Segoe UI" w:eastAsia="仿宋_GB2312" w:cs="Segoe UI"/>
          <w:color w:val="000000" w:themeColor="text1"/>
          <w:sz w:val="28"/>
          <w:szCs w:val="28"/>
          <w:shd w:val="clear" w:color="auto" w:fill="FFFFFF"/>
          <w14:textFill>
            <w14:solidFill>
              <w14:schemeClr w14:val="tx1"/>
            </w14:solidFill>
          </w14:textFill>
        </w:rPr>
        <w:t>学院对申请推免资格学生提交的高水平科研创新成果、竞赛奖项等材料，须按以下程序进行严格审核：</w:t>
      </w:r>
    </w:p>
    <w:p w14:paraId="170ABA76">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ascii="Segoe UI" w:hAnsi="Segoe UI" w:eastAsia="仿宋_GB2312" w:cs="Segoe UI"/>
          <w:color w:val="000000" w:themeColor="text1"/>
          <w:sz w:val="28"/>
          <w:szCs w:val="28"/>
          <w:shd w:val="clear" w:color="auto" w:fill="FFFFFF"/>
          <w14:textFill>
            <w14:solidFill>
              <w14:schemeClr w14:val="tx1"/>
            </w14:solidFill>
          </w14:textFill>
        </w:rPr>
        <w:t>（一）</w:t>
      </w:r>
      <w:r>
        <w:rPr>
          <w:rFonts w:ascii="Segoe UI" w:hAnsi="Segoe UI" w:eastAsia="仿宋_GB2312" w:cs="Segoe UI"/>
          <w:color w:val="000000" w:themeColor="text1"/>
          <w:sz w:val="28"/>
          <w:szCs w:val="28"/>
          <w:shd w:val="clear" w:color="auto" w:fill="FFFFFF"/>
          <w14:textFill>
            <w14:solidFill>
              <w14:schemeClr w14:val="tx1"/>
            </w14:solidFill>
          </w14:textFill>
        </w:rPr>
        <w:t>材料接收与登记。研究生办公室统一接收学生提交的推免资格申请表及各类科研支撑材料，逐项登记造册，建立审核台账。</w:t>
      </w:r>
    </w:p>
    <w:p w14:paraId="5487C109">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（二）</w:t>
      </w:r>
      <w:r>
        <w:rPr>
          <w:rFonts w:ascii="Segoe UI" w:hAnsi="Segoe UI" w:eastAsia="仿宋_GB2312" w:cs="Segoe UI"/>
          <w:color w:val="000000" w:themeColor="text1"/>
          <w:sz w:val="28"/>
          <w:szCs w:val="28"/>
          <w:shd w:val="clear" w:color="auto" w:fill="FFFFFF"/>
          <w14:textFill>
            <w14:solidFill>
              <w14:schemeClr w14:val="tx1"/>
            </w14:solidFill>
          </w14:textFill>
        </w:rPr>
        <w:t>专家组审核。材料审核专家组对学生提交的成果材料的真实性、原创性进行审核鉴定，重点关注以下内容：</w:t>
      </w:r>
    </w:p>
    <w:p w14:paraId="2FCB3153">
      <w:pPr>
        <w:snapToGrid w:val="0"/>
        <w:spacing w:line="360" w:lineRule="auto"/>
        <w:ind w:firstLine="560" w:firstLineChars="200"/>
        <w:rPr>
          <w:rFonts w:ascii="Segoe UI" w:hAnsi="Segoe UI" w:eastAsia="仿宋_GB2312" w:cs="Segoe UI"/>
          <w:color w:val="000000" w:themeColor="text1"/>
          <w:sz w:val="28"/>
          <w:szCs w:val="28"/>
          <w14:textFill>
            <w14:solidFill>
              <w14:schemeClr w14:val="tx1"/>
            </w14:solidFill>
          </w14:textFill>
        </w:rPr>
      </w:pPr>
      <w:r>
        <w:rPr>
          <w:rFonts w:hint="eastAsia" w:ascii="Segoe UI" w:hAnsi="Segoe UI" w:eastAsia="仿宋_GB2312" w:cs="Segoe UI"/>
          <w:color w:val="000000" w:themeColor="text1"/>
          <w:sz w:val="28"/>
          <w:szCs w:val="28"/>
          <w:shd w:val="clear" w:color="auto" w:fill="FFFFFF"/>
          <w14:textFill>
            <w14:solidFill>
              <w14:schemeClr w14:val="tx1"/>
            </w14:solidFill>
          </w14:textFill>
        </w:rPr>
        <w:t>1.</w:t>
      </w:r>
      <w:r>
        <w:rPr>
          <w:rFonts w:ascii="Segoe UI" w:hAnsi="Segoe UI" w:eastAsia="仿宋_GB2312" w:cs="Segoe UI"/>
          <w:color w:val="000000" w:themeColor="text1"/>
          <w:sz w:val="28"/>
          <w:szCs w:val="28"/>
          <w:shd w:val="clear" w:color="auto" w:fill="FFFFFF"/>
          <w14:textFill>
            <w14:solidFill>
              <w14:schemeClr w14:val="tx1"/>
            </w14:solidFill>
          </w14:textFill>
        </w:rPr>
        <w:t>学科竞赛获奖：核对获奖证书原件，核实竞赛级别、获奖等级、排名顺序等信息。对于联合参赛成果，须要求该团队所有申请推免的学生分别出具指导教师本人撰写并签名的推荐信，客观陈述每位学生在团队中的实际贡献。</w:t>
      </w:r>
    </w:p>
    <w:p w14:paraId="029BBD58">
      <w:pPr>
        <w:snapToGrid w:val="0"/>
        <w:spacing w:line="360" w:lineRule="auto"/>
        <w:ind w:firstLine="560" w:firstLineChars="200"/>
        <w:rPr>
          <w:rFonts w:ascii="Segoe UI" w:hAnsi="Segoe UI" w:eastAsia="仿宋_GB2312" w:cs="Segoe UI"/>
          <w:color w:val="000000" w:themeColor="text1"/>
          <w:sz w:val="28"/>
          <w:szCs w:val="28"/>
          <w14:textFill>
            <w14:solidFill>
              <w14:schemeClr w14:val="tx1"/>
            </w14:solidFill>
          </w14:textFill>
        </w:rPr>
      </w:pPr>
      <w:r>
        <w:rPr>
          <w:rFonts w:hint="eastAsia" w:ascii="Segoe UI" w:hAnsi="Segoe UI" w:eastAsia="仿宋_GB2312" w:cs="Segoe UI"/>
          <w:color w:val="000000" w:themeColor="text1"/>
          <w:sz w:val="28"/>
          <w:szCs w:val="28"/>
          <w:shd w:val="clear" w:color="auto" w:fill="FFFFFF"/>
          <w14:textFill>
            <w14:solidFill>
              <w14:schemeClr w14:val="tx1"/>
            </w14:solidFill>
          </w14:textFill>
        </w:rPr>
        <w:t>2.</w:t>
      </w:r>
      <w:r>
        <w:rPr>
          <w:rFonts w:ascii="Segoe UI" w:hAnsi="Segoe UI" w:eastAsia="仿宋_GB2312" w:cs="Segoe UI"/>
          <w:color w:val="000000" w:themeColor="text1"/>
          <w:sz w:val="28"/>
          <w:szCs w:val="28"/>
          <w:shd w:val="clear" w:color="auto" w:fill="FFFFFF"/>
          <w14:textFill>
            <w14:solidFill>
              <w14:schemeClr w14:val="tx1"/>
            </w14:solidFill>
          </w14:textFill>
        </w:rPr>
        <w:t>学术论文：核对论文全文、检索证明、期刊来源等材料。对于与指导教师联合发表的论文，须要求相关学生出具指导教师本人撰写并签名的推荐信，客观陈述学生在论文中的实际贡献（包括研究设计、实验实施、数据分析、论文撰写等环节的具体参与程度）。</w:t>
      </w:r>
    </w:p>
    <w:p w14:paraId="27972756">
      <w:pPr>
        <w:snapToGrid w:val="0"/>
        <w:spacing w:line="360" w:lineRule="auto"/>
        <w:ind w:firstLine="560" w:firstLineChars="200"/>
        <w:rPr>
          <w:rFonts w:ascii="Segoe UI" w:hAnsi="Segoe UI" w:eastAsia="仿宋_GB2312" w:cs="Segoe UI"/>
          <w:color w:val="000000" w:themeColor="text1"/>
          <w:sz w:val="28"/>
          <w:szCs w:val="28"/>
          <w14:textFill>
            <w14:solidFill>
              <w14:schemeClr w14:val="tx1"/>
            </w14:solidFill>
          </w14:textFill>
        </w:rPr>
      </w:pPr>
      <w:r>
        <w:rPr>
          <w:rFonts w:hint="eastAsia" w:ascii="Segoe UI" w:hAnsi="Segoe UI" w:eastAsia="仿宋_GB2312" w:cs="Segoe UI"/>
          <w:color w:val="000000" w:themeColor="text1"/>
          <w:sz w:val="28"/>
          <w:szCs w:val="28"/>
          <w:shd w:val="clear" w:color="auto" w:fill="FFFFFF"/>
          <w14:textFill>
            <w14:solidFill>
              <w14:schemeClr w14:val="tx1"/>
            </w14:solidFill>
          </w14:textFill>
        </w:rPr>
        <w:t>3.</w:t>
      </w:r>
      <w:r>
        <w:rPr>
          <w:rFonts w:ascii="Segoe UI" w:hAnsi="Segoe UI" w:eastAsia="仿宋_GB2312" w:cs="Segoe UI"/>
          <w:color w:val="000000" w:themeColor="text1"/>
          <w:sz w:val="28"/>
          <w:szCs w:val="28"/>
          <w:shd w:val="clear" w:color="auto" w:fill="FFFFFF"/>
          <w14:textFill>
            <w14:solidFill>
              <w14:schemeClr w14:val="tx1"/>
            </w14:solidFill>
          </w14:textFill>
        </w:rPr>
        <w:t>专利及软件著作权：核对授权证书原件，核实发明人/作者排名及贡献。</w:t>
      </w:r>
    </w:p>
    <w:p w14:paraId="29333CDA">
      <w:pPr>
        <w:snapToGrid w:val="0"/>
        <w:spacing w:line="360" w:lineRule="auto"/>
        <w:ind w:firstLine="560" w:firstLineChars="200"/>
        <w:rPr>
          <w:rFonts w:ascii="Segoe UI" w:hAnsi="Segoe UI" w:eastAsia="仿宋_GB2312" w:cs="Segoe UI"/>
          <w:color w:val="000000" w:themeColor="text1"/>
          <w:sz w:val="28"/>
          <w:szCs w:val="28"/>
          <w14:textFill>
            <w14:solidFill>
              <w14:schemeClr w14:val="tx1"/>
            </w14:solidFill>
          </w14:textFill>
        </w:rPr>
      </w:pPr>
      <w:r>
        <w:rPr>
          <w:rFonts w:hint="eastAsia" w:ascii="Segoe UI" w:hAnsi="Segoe UI" w:eastAsia="仿宋_GB2312" w:cs="Segoe UI"/>
          <w:color w:val="000000" w:themeColor="text1"/>
          <w:sz w:val="28"/>
          <w:szCs w:val="28"/>
          <w:shd w:val="clear" w:color="auto" w:fill="FFFFFF"/>
          <w14:textFill>
            <w14:solidFill>
              <w14:schemeClr w14:val="tx1"/>
            </w14:solidFill>
          </w14:textFill>
        </w:rPr>
        <w:t>4.</w:t>
      </w:r>
      <w:r>
        <w:rPr>
          <w:rFonts w:ascii="Segoe UI" w:hAnsi="Segoe UI" w:eastAsia="仿宋_GB2312" w:cs="Segoe UI"/>
          <w:color w:val="000000" w:themeColor="text1"/>
          <w:sz w:val="28"/>
          <w:szCs w:val="28"/>
          <w:shd w:val="clear" w:color="auto" w:fill="FFFFFF"/>
          <w14:textFill>
            <w14:solidFill>
              <w14:schemeClr w14:val="tx1"/>
            </w14:solidFill>
          </w14:textFill>
        </w:rPr>
        <w:t>大学生科创项目：核对项目结题证书，核实项目级别、结题等级及贡献者认定。</w:t>
      </w:r>
    </w:p>
    <w:p w14:paraId="42E09EAB">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（三）</w:t>
      </w:r>
      <w:r>
        <w:rPr>
          <w:rFonts w:ascii="Segoe UI" w:hAnsi="Segoe UI" w:eastAsia="仿宋_GB2312" w:cs="Segoe UI"/>
          <w:color w:val="000000" w:themeColor="text1"/>
          <w:sz w:val="28"/>
          <w:szCs w:val="28"/>
          <w:shd w:val="clear" w:color="auto" w:fill="FFFFFF"/>
          <w14:textFill>
            <w14:solidFill>
              <w14:schemeClr w14:val="tx1"/>
            </w14:solidFill>
          </w14:textFill>
        </w:rPr>
        <w:t>公开答辩。通过材料</w:t>
      </w:r>
      <w:r>
        <w:rPr>
          <w:rFonts w:hint="eastAsia" w:ascii="Segoe UI" w:hAnsi="Segoe UI" w:eastAsia="仿宋_GB2312" w:cs="Segoe UI"/>
          <w:color w:val="000000" w:themeColor="text1"/>
          <w:sz w:val="28"/>
          <w:szCs w:val="28"/>
          <w:shd w:val="clear" w:color="auto" w:fill="FFFFFF"/>
          <w:lang w:val="en-US" w:eastAsia="zh-CN"/>
          <w14:textFill>
            <w14:solidFill>
              <w14:schemeClr w14:val="tx1"/>
            </w14:solidFill>
          </w14:textFill>
        </w:rPr>
        <w:t>审核鉴定</w:t>
      </w:r>
      <w:r>
        <w:rPr>
          <w:rFonts w:ascii="Segoe UI" w:hAnsi="Segoe UI" w:eastAsia="仿宋_GB2312" w:cs="Segoe UI"/>
          <w:color w:val="000000" w:themeColor="text1"/>
          <w:sz w:val="28"/>
          <w:szCs w:val="28"/>
          <w:shd w:val="clear" w:color="auto" w:fill="FFFFFF"/>
          <w14:textFill>
            <w14:solidFill>
              <w14:schemeClr w14:val="tx1"/>
            </w14:solidFill>
          </w14:textFill>
        </w:rPr>
        <w:t>的学生，须在学校一定范围内参加公开答辩。答辩内容包括：成果的研究背景、技术路线、个人贡献、创新点等。答辩全程须录音录像，录音录像资料由学院研究生办公室集中保管，任何人不得改动。</w:t>
      </w:r>
    </w:p>
    <w:p w14:paraId="6E0595ED">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ascii="Segoe UI" w:hAnsi="Segoe UI" w:eastAsia="仿宋_GB2312" w:cs="Segoe UI"/>
          <w:color w:val="000000" w:themeColor="text1"/>
          <w:sz w:val="28"/>
          <w:szCs w:val="28"/>
          <w:shd w:val="clear" w:color="auto" w:fill="FFFFFF"/>
          <w14:textFill>
            <w14:solidFill>
              <w14:schemeClr w14:val="tx1"/>
            </w14:solidFill>
          </w14:textFill>
        </w:rPr>
        <w:t>（四）</w:t>
      </w:r>
      <w:r>
        <w:rPr>
          <w:rFonts w:ascii="Segoe UI" w:hAnsi="Segoe UI" w:eastAsia="仿宋_GB2312" w:cs="Segoe UI"/>
          <w:i w:val="0"/>
          <w:iCs w:val="0"/>
          <w:caps w:val="0"/>
          <w:color w:val="000000" w:themeColor="text1"/>
          <w:spacing w:val="0"/>
          <w:sz w:val="28"/>
          <w:szCs w:val="28"/>
          <w:shd w:val="clear" w:color="auto" w:fill="FFFFFF"/>
          <w14:textFill>
            <w14:solidFill>
              <w14:schemeClr w14:val="tx1"/>
            </w14:solidFill>
          </w14:textFill>
        </w:rPr>
        <w:t>审核意见。专家组根据材料审核和答辩情况，排除抄袭、造假、冒名、有名</w:t>
      </w:r>
      <w:r>
        <w:rPr>
          <w:rFonts w:ascii="Segoe UI" w:hAnsi="Segoe UI" w:eastAsia="仿宋_GB2312" w:cs="Segoe UI"/>
          <w:color w:val="000000" w:themeColor="text1"/>
          <w:sz w:val="28"/>
          <w:szCs w:val="28"/>
          <w:shd w:val="clear" w:color="auto" w:fill="FFFFFF"/>
          <w14:textFill>
            <w14:solidFill>
              <w14:schemeClr w14:val="tx1"/>
            </w14:solidFill>
          </w14:textFill>
        </w:rPr>
        <w:t>无实等情况后，给出明确审核意见（合格/不合格），全体专家签字确认后存入学生推免档案。</w:t>
      </w:r>
    </w:p>
    <w:p w14:paraId="7CED7AE4">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（五）</w:t>
      </w:r>
      <w:r>
        <w:rPr>
          <w:rFonts w:ascii="Segoe UI" w:hAnsi="Segoe UI" w:eastAsia="仿宋_GB2312" w:cs="Segoe UI"/>
          <w:color w:val="000000" w:themeColor="text1"/>
          <w:sz w:val="28"/>
          <w:szCs w:val="28"/>
          <w:shd w:val="clear" w:color="auto" w:fill="FFFFFF"/>
          <w14:textFill>
            <w14:solidFill>
              <w14:schemeClr w14:val="tx1"/>
            </w14:solidFill>
          </w14:textFill>
        </w:rPr>
        <w:t>结果公示。通过材料审核和答辩的高水平科研创新成果、竞赛奖项等，须在学院网站公示。</w:t>
      </w:r>
    </w:p>
    <w:p w14:paraId="78FB1960">
      <w:p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（六）</w:t>
      </w:r>
      <w:r>
        <w:rPr>
          <w:rFonts w:ascii="Segoe UI" w:hAnsi="Segoe UI" w:eastAsia="仿宋_GB2312" w:cs="Segoe UI"/>
          <w:color w:val="000000" w:themeColor="text1"/>
          <w:sz w:val="28"/>
          <w:szCs w:val="28"/>
          <w:shd w:val="clear" w:color="auto" w:fill="FFFFFF"/>
          <w14:textFill>
            <w14:solidFill>
              <w14:schemeClr w14:val="tx1"/>
            </w14:solidFill>
          </w14:textFill>
        </w:rPr>
        <w:t>材料存档。材料审核过程中的答辩记录、审核意见、指导教师推荐信、录音录像等材料由学院研究生办公室集中保管，任何人不得改动。</w:t>
      </w:r>
    </w:p>
    <w:p w14:paraId="537D35E9">
      <w:pPr>
        <w:numPr>
          <w:ilvl w:val="255"/>
          <w:numId w:val="0"/>
        </w:num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第十七条</w:t>
      </w:r>
      <w:r>
        <w:rPr>
          <w:rFonts w:hint="eastAsia" w:eastAsia="仿宋_GB2312"/>
          <w:color w:val="000000" w:themeColor="text1"/>
          <w:sz w:val="28"/>
          <w:szCs w:val="28"/>
          <w14:textFill>
            <w14:solidFill>
              <w14:schemeClr w14:val="tx1"/>
            </w14:solidFill>
          </w14:textFill>
        </w:rPr>
        <w:t xml:space="preserve">  </w:t>
      </w:r>
      <w:r>
        <w:rPr>
          <w:rFonts w:eastAsia="仿宋_GB2312"/>
          <w:color w:val="000000" w:themeColor="text1"/>
          <w:sz w:val="28"/>
          <w:szCs w:val="28"/>
          <w14:textFill>
            <w14:solidFill>
              <w14:schemeClr w14:val="tx1"/>
            </w14:solidFill>
          </w14:textFill>
        </w:rPr>
        <w:t>科研潜质考核</w:t>
      </w:r>
      <w:r>
        <w:rPr>
          <w:rFonts w:hint="eastAsia" w:eastAsia="仿宋_GB2312"/>
          <w:color w:val="000000" w:themeColor="text1"/>
          <w:sz w:val="28"/>
          <w:szCs w:val="28"/>
          <w14:textFill>
            <w14:solidFill>
              <w14:schemeClr w14:val="tx1"/>
            </w14:solidFill>
          </w14:textFill>
        </w:rPr>
        <w:t>。</w:t>
      </w:r>
      <w:r>
        <w:rPr>
          <w:rFonts w:eastAsia="仿宋_GB2312"/>
          <w:color w:val="000000" w:themeColor="text1"/>
          <w:sz w:val="28"/>
          <w:szCs w:val="28"/>
          <w14:textFill>
            <w14:solidFill>
              <w14:schemeClr w14:val="tx1"/>
            </w14:solidFill>
          </w14:textFill>
        </w:rPr>
        <w:t>科研潜质考核评价满分100分，</w:t>
      </w:r>
      <w:r>
        <w:rPr>
          <w:rFonts w:hint="eastAsia" w:eastAsia="仿宋_GB2312"/>
          <w:color w:val="000000" w:themeColor="text1"/>
          <w:sz w:val="28"/>
          <w:szCs w:val="28"/>
          <w14:textFill>
            <w14:solidFill>
              <w14:schemeClr w14:val="tx1"/>
            </w14:solidFill>
          </w14:textFill>
        </w:rPr>
        <w:t>由</w:t>
      </w:r>
      <w:r>
        <w:rPr>
          <w:rFonts w:hint="eastAsia" w:ascii="仿宋_GB2312" w:eastAsia="仿宋_GB2312"/>
          <w:color w:val="000000" w:themeColor="text1"/>
          <w:sz w:val="28"/>
          <w:szCs w:val="28"/>
          <w14:textFill>
            <w14:solidFill>
              <w14:schemeClr w14:val="tx1"/>
            </w14:solidFill>
          </w14:textFill>
        </w:rPr>
        <w:t>“科研潜质成果”“科研能力综合考查结果”两部</w:t>
      </w:r>
      <w:r>
        <w:rPr>
          <w:rFonts w:eastAsia="仿宋_GB2312"/>
          <w:color w:val="000000" w:themeColor="text1"/>
          <w:sz w:val="28"/>
          <w:szCs w:val="28"/>
          <w14:textFill>
            <w14:solidFill>
              <w14:schemeClr w14:val="tx1"/>
            </w14:solidFill>
          </w14:textFill>
        </w:rPr>
        <w:t>分</w:t>
      </w:r>
      <w:r>
        <w:rPr>
          <w:rFonts w:hint="eastAsia" w:eastAsia="仿宋_GB2312"/>
          <w:color w:val="000000" w:themeColor="text1"/>
          <w:sz w:val="28"/>
          <w:szCs w:val="28"/>
          <w14:textFill>
            <w14:solidFill>
              <w14:schemeClr w14:val="tx1"/>
            </w14:solidFill>
          </w14:textFill>
        </w:rPr>
        <w:t>组成，各占50%。</w:t>
      </w:r>
      <w:r>
        <w:rPr>
          <w:rFonts w:hint="eastAsia" w:ascii="仿宋_GB2312" w:eastAsia="仿宋_GB2312"/>
          <w:color w:val="000000" w:themeColor="text1"/>
          <w:sz w:val="28"/>
          <w:szCs w:val="28"/>
          <w14:textFill>
            <w14:solidFill>
              <w14:schemeClr w14:val="tx1"/>
            </w14:solidFill>
          </w14:textFill>
        </w:rPr>
        <w:t>“科研潜质成果”包括普通型成果类和标志性成果</w:t>
      </w:r>
      <w:r>
        <w:rPr>
          <w:rFonts w:eastAsia="仿宋_GB2312"/>
          <w:color w:val="000000" w:themeColor="text1"/>
          <w:sz w:val="28"/>
          <w:szCs w:val="28"/>
          <w14:textFill>
            <w14:solidFill>
              <w14:schemeClr w14:val="tx1"/>
            </w14:solidFill>
          </w14:textFill>
        </w:rPr>
        <w:t>类</w:t>
      </w:r>
      <w:r>
        <w:rPr>
          <w:rFonts w:hint="eastAsia" w:eastAsia="仿宋_GB2312"/>
          <w:color w:val="000000" w:themeColor="text1"/>
          <w:sz w:val="28"/>
          <w:szCs w:val="28"/>
          <w14:textFill>
            <w14:solidFill>
              <w14:schemeClr w14:val="tx1"/>
            </w14:solidFill>
          </w14:textFill>
        </w:rPr>
        <w:t>两</w:t>
      </w:r>
      <w:r>
        <w:rPr>
          <w:rFonts w:eastAsia="仿宋_GB2312"/>
          <w:color w:val="000000" w:themeColor="text1"/>
          <w:sz w:val="28"/>
          <w:szCs w:val="28"/>
          <w14:textFill>
            <w14:solidFill>
              <w14:schemeClr w14:val="tx1"/>
            </w14:solidFill>
          </w14:textFill>
        </w:rPr>
        <w:t>种类别</w:t>
      </w:r>
      <w:r>
        <w:rPr>
          <w:rFonts w:hint="eastAsia" w:eastAsia="仿宋_GB2312"/>
          <w:color w:val="000000" w:themeColor="text1"/>
          <w:sz w:val="28"/>
          <w:szCs w:val="28"/>
          <w14:textFill>
            <w14:solidFill>
              <w14:schemeClr w14:val="tx1"/>
            </w14:solidFill>
          </w14:textFill>
        </w:rPr>
        <w:t>，申请者根据已取得的实际成果，选择其中一种类别进行加分计算。</w:t>
      </w:r>
      <w:r>
        <w:rPr>
          <w:rFonts w:eastAsia="仿宋_GB2312"/>
          <w:color w:val="000000" w:themeColor="text1"/>
          <w:sz w:val="28"/>
          <w:szCs w:val="28"/>
          <w14:textFill>
            <w14:solidFill>
              <w14:schemeClr w14:val="tx1"/>
            </w14:solidFill>
          </w14:textFill>
        </w:rPr>
        <w:t>同一类型成果不得重复认定（若成果属于论文类，则其余加分项不再认定论文成果；若成果属于竞赛类，则其余加分项不再认定竞赛成果）。</w:t>
      </w:r>
    </w:p>
    <w:p w14:paraId="5710C2E1">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1.科研潜质成果（满分50分）</w:t>
      </w:r>
    </w:p>
    <w:p w14:paraId="2C85D537">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（1）普通型成果类包括学科竞赛获奖，学术论文和专利、软著，大学生科创项目结题，外语水平等四部分。</w:t>
      </w:r>
    </w:p>
    <w:p w14:paraId="5789D065">
      <w:pPr>
        <w:numPr>
          <w:ilvl w:val="255"/>
          <w:numId w:val="0"/>
        </w:numPr>
        <w:snapToGrid w:val="0"/>
        <w:spacing w:line="360" w:lineRule="auto"/>
        <w:ind w:firstLine="560" w:firstLineChars="200"/>
        <w:rPr>
          <w:rFonts w:ascii="Calibri" w:hAnsi="Calibri" w:eastAsia="仿宋_GB2312" w:cs="Calibri"/>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①</w:t>
      </w:r>
      <w:r>
        <w:rPr>
          <w:rFonts w:ascii="Calibri" w:hAnsi="Calibri" w:eastAsia="仿宋_GB2312" w:cs="Calibri"/>
          <w:color w:val="000000" w:themeColor="text1"/>
          <w:sz w:val="28"/>
          <w:szCs w:val="28"/>
          <w14:textFill>
            <w14:solidFill>
              <w14:schemeClr w14:val="tx1"/>
            </w14:solidFill>
          </w14:textFill>
        </w:rPr>
        <w:t>学科竞赛获奖</w:t>
      </w:r>
      <w:r>
        <w:rPr>
          <w:rFonts w:hint="eastAsia" w:ascii="Calibri" w:hAnsi="Calibri" w:eastAsia="仿宋_GB2312" w:cs="Calibri"/>
          <w:color w:val="000000" w:themeColor="text1"/>
          <w:sz w:val="28"/>
          <w:szCs w:val="28"/>
          <w14:textFill>
            <w14:solidFill>
              <w14:schemeClr w14:val="tx1"/>
            </w14:solidFill>
          </w14:textFill>
        </w:rPr>
        <w:t>（</w:t>
      </w:r>
      <w:r>
        <w:rPr>
          <w:rFonts w:ascii="Calibri" w:hAnsi="Calibri" w:eastAsia="仿宋_GB2312" w:cs="Calibri"/>
          <w:color w:val="000000" w:themeColor="text1"/>
          <w:sz w:val="28"/>
          <w:szCs w:val="28"/>
          <w14:textFill>
            <w14:solidFill>
              <w14:schemeClr w14:val="tx1"/>
            </w14:solidFill>
          </w14:textFill>
        </w:rPr>
        <w:t>满分18分</w:t>
      </w:r>
      <w:r>
        <w:rPr>
          <w:rFonts w:hint="eastAsia" w:ascii="Calibri" w:hAnsi="Calibri" w:eastAsia="仿宋_GB2312" w:cs="Calibri"/>
          <w:color w:val="000000" w:themeColor="text1"/>
          <w:sz w:val="28"/>
          <w:szCs w:val="28"/>
          <w14:textFill>
            <w14:solidFill>
              <w14:schemeClr w14:val="tx1"/>
            </w14:solidFill>
          </w14:textFill>
        </w:rPr>
        <w:t>）</w:t>
      </w:r>
    </w:p>
    <w:p w14:paraId="47B92AD1">
      <w:pPr>
        <w:numPr>
          <w:ilvl w:val="255"/>
          <w:numId w:val="0"/>
        </w:numPr>
        <w:snapToGrid w:val="0"/>
        <w:spacing w:line="360" w:lineRule="auto"/>
        <w:ind w:firstLine="560" w:firstLineChars="200"/>
        <w:rPr>
          <w:rFonts w:ascii="Calibri" w:hAnsi="Calibri" w:eastAsia="仿宋_GB2312" w:cs="Calibri"/>
          <w:color w:val="000000" w:themeColor="text1"/>
          <w:sz w:val="28"/>
          <w:szCs w:val="28"/>
          <w14:textFill>
            <w14:solidFill>
              <w14:schemeClr w14:val="tx1"/>
            </w14:solidFill>
          </w14:textFill>
        </w:rPr>
      </w:pPr>
      <w:r>
        <w:rPr>
          <w:rFonts w:ascii="Calibri" w:hAnsi="Calibri" w:eastAsia="仿宋_GB2312" w:cs="Calibri"/>
          <w:color w:val="000000" w:themeColor="text1"/>
          <w:sz w:val="28"/>
          <w:szCs w:val="28"/>
          <w14:textFill>
            <w14:solidFill>
              <w14:schemeClr w14:val="tx1"/>
            </w14:solidFill>
          </w14:textFill>
        </w:rPr>
        <w:t>共有校级、省级、国家级、国际级4个级别。表1所列为获奖等级和与之相应的计分标准。</w:t>
      </w:r>
    </w:p>
    <w:p w14:paraId="505D7C40">
      <w:pPr>
        <w:widowControl/>
        <w:adjustRightInd w:val="0"/>
        <w:spacing w:line="360" w:lineRule="auto"/>
        <w:jc w:val="center"/>
        <w:rPr>
          <w:rFonts w:eastAsia="仿宋_GB2312"/>
          <w:b/>
          <w:color w:val="000000" w:themeColor="text1"/>
          <w:sz w:val="24"/>
          <w14:textFill>
            <w14:solidFill>
              <w14:schemeClr w14:val="tx1"/>
            </w14:solidFill>
          </w14:textFill>
        </w:rPr>
      </w:pPr>
      <w:r>
        <w:rPr>
          <w:rFonts w:hint="eastAsia" w:eastAsia="仿宋_GB2312"/>
          <w:b/>
          <w:color w:val="000000" w:themeColor="text1"/>
          <w:sz w:val="24"/>
          <w14:textFill>
            <w14:solidFill>
              <w14:schemeClr w14:val="tx1"/>
            </w14:solidFill>
          </w14:textFill>
        </w:rPr>
        <w:t xml:space="preserve">表1 </w:t>
      </w:r>
      <w:r>
        <w:rPr>
          <w:rFonts w:eastAsia="仿宋_GB2312"/>
          <w:b/>
          <w:color w:val="000000" w:themeColor="text1"/>
          <w:sz w:val="24"/>
          <w14:textFill>
            <w14:solidFill>
              <w14:schemeClr w14:val="tx1"/>
            </w14:solidFill>
          </w14:textFill>
        </w:rPr>
        <w:t xml:space="preserve"> </w:t>
      </w:r>
      <w:r>
        <w:rPr>
          <w:rFonts w:hint="eastAsia" w:eastAsia="仿宋_GB2312"/>
          <w:b/>
          <w:color w:val="000000" w:themeColor="text1"/>
          <w:sz w:val="24"/>
          <w14:textFill>
            <w14:solidFill>
              <w14:schemeClr w14:val="tx1"/>
            </w14:solidFill>
          </w14:textFill>
        </w:rPr>
        <w:t>学科竞赛等级和计分标准</w:t>
      </w:r>
    </w:p>
    <w:tbl>
      <w:tblPr>
        <w:tblStyle w:val="7"/>
        <w:tblW w:w="7823" w:type="dxa"/>
        <w:jc w:val="center"/>
        <w:tblLayout w:type="fixed"/>
        <w:tblCellMar>
          <w:top w:w="0" w:type="dxa"/>
          <w:left w:w="108" w:type="dxa"/>
          <w:bottom w:w="0" w:type="dxa"/>
          <w:right w:w="108" w:type="dxa"/>
        </w:tblCellMar>
      </w:tblPr>
      <w:tblGrid>
        <w:gridCol w:w="1304"/>
        <w:gridCol w:w="1304"/>
        <w:gridCol w:w="1304"/>
        <w:gridCol w:w="1417"/>
        <w:gridCol w:w="2494"/>
      </w:tblGrid>
      <w:tr w14:paraId="2405B5BE">
        <w:tblPrEx>
          <w:tblCellMar>
            <w:top w:w="0" w:type="dxa"/>
            <w:left w:w="108" w:type="dxa"/>
            <w:bottom w:w="0" w:type="dxa"/>
            <w:right w:w="108" w:type="dxa"/>
          </w:tblCellMar>
        </w:tblPrEx>
        <w:trPr>
          <w:trHeight w:val="510" w:hRule="atLeast"/>
          <w:jc w:val="center"/>
        </w:trPr>
        <w:tc>
          <w:tcPr>
            <w:tcW w:w="1304" w:type="dxa"/>
            <w:tcBorders>
              <w:top w:val="single" w:color="000000" w:sz="4" w:space="0"/>
              <w:left w:val="single" w:color="000000" w:sz="4" w:space="0"/>
              <w:bottom w:val="single" w:color="000000" w:sz="4" w:space="0"/>
              <w:right w:val="nil"/>
            </w:tcBorders>
            <w:vAlign w:val="center"/>
          </w:tcPr>
          <w:p w14:paraId="60CDB52F">
            <w:pPr>
              <w:widowControl/>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等级</w:t>
            </w:r>
          </w:p>
        </w:tc>
        <w:tc>
          <w:tcPr>
            <w:tcW w:w="1304" w:type="dxa"/>
            <w:tcBorders>
              <w:top w:val="single" w:color="auto" w:sz="4" w:space="0"/>
              <w:left w:val="single" w:color="auto" w:sz="4" w:space="0"/>
              <w:bottom w:val="single" w:color="auto" w:sz="4" w:space="0"/>
              <w:right w:val="single" w:color="auto" w:sz="4" w:space="0"/>
            </w:tcBorders>
            <w:vAlign w:val="center"/>
          </w:tcPr>
          <w:p w14:paraId="4C2FBAB0">
            <w:pPr>
              <w:widowControl/>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校级（0.4）</w:t>
            </w:r>
          </w:p>
        </w:tc>
        <w:tc>
          <w:tcPr>
            <w:tcW w:w="1304" w:type="dxa"/>
            <w:tcBorders>
              <w:top w:val="single" w:color="auto" w:sz="4" w:space="0"/>
              <w:left w:val="nil"/>
              <w:bottom w:val="single" w:color="auto" w:sz="4" w:space="0"/>
              <w:right w:val="single" w:color="auto" w:sz="4" w:space="0"/>
            </w:tcBorders>
            <w:vAlign w:val="center"/>
          </w:tcPr>
          <w:p w14:paraId="23E4D374">
            <w:pPr>
              <w:widowControl/>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省级（0.6）</w:t>
            </w:r>
          </w:p>
        </w:tc>
        <w:tc>
          <w:tcPr>
            <w:tcW w:w="1417" w:type="dxa"/>
            <w:tcBorders>
              <w:top w:val="single" w:color="auto" w:sz="4" w:space="0"/>
              <w:left w:val="nil"/>
              <w:bottom w:val="single" w:color="auto" w:sz="4" w:space="0"/>
              <w:right w:val="single" w:color="auto" w:sz="4" w:space="0"/>
            </w:tcBorders>
            <w:vAlign w:val="center"/>
          </w:tcPr>
          <w:p w14:paraId="40DFD7A6">
            <w:pPr>
              <w:widowControl/>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国家级（0.8）</w:t>
            </w:r>
          </w:p>
        </w:tc>
        <w:tc>
          <w:tcPr>
            <w:tcW w:w="2494" w:type="dxa"/>
            <w:tcBorders>
              <w:top w:val="single" w:color="auto" w:sz="4" w:space="0"/>
              <w:left w:val="nil"/>
              <w:bottom w:val="single" w:color="auto" w:sz="4" w:space="0"/>
              <w:right w:val="single" w:color="auto" w:sz="4" w:space="0"/>
            </w:tcBorders>
            <w:vAlign w:val="center"/>
          </w:tcPr>
          <w:p w14:paraId="671B567A">
            <w:pPr>
              <w:widowControl/>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国际级</w:t>
            </w:r>
            <w:r>
              <w:rPr>
                <w:rFonts w:eastAsia="仿宋_GB2312"/>
                <w:b/>
                <w:color w:val="000000" w:themeColor="text1"/>
                <w:kern w:val="0"/>
                <w:szCs w:val="21"/>
                <w14:textFill>
                  <w14:solidFill>
                    <w14:schemeClr w14:val="tx1"/>
                  </w14:solidFill>
                </w14:textFill>
              </w:rPr>
              <w:t>/</w:t>
            </w:r>
            <w:r>
              <w:rPr>
                <w:rFonts w:hint="eastAsia" w:eastAsia="仿宋_GB2312"/>
                <w:b/>
                <w:color w:val="000000" w:themeColor="text1"/>
                <w:kern w:val="0"/>
                <w:szCs w:val="21"/>
                <w14:textFill>
                  <w14:solidFill>
                    <w14:schemeClr w14:val="tx1"/>
                  </w14:solidFill>
                </w14:textFill>
              </w:rPr>
              <w:t>亚洲地区级（1.0）</w:t>
            </w:r>
          </w:p>
        </w:tc>
      </w:tr>
      <w:tr w14:paraId="026EE429">
        <w:tblPrEx>
          <w:tblCellMar>
            <w:top w:w="0" w:type="dxa"/>
            <w:left w:w="108" w:type="dxa"/>
            <w:bottom w:w="0" w:type="dxa"/>
            <w:right w:w="108" w:type="dxa"/>
          </w:tblCellMar>
        </w:tblPrEx>
        <w:trPr>
          <w:trHeight w:val="510" w:hRule="atLeast"/>
          <w:jc w:val="center"/>
        </w:trPr>
        <w:tc>
          <w:tcPr>
            <w:tcW w:w="1304" w:type="dxa"/>
            <w:tcBorders>
              <w:top w:val="nil"/>
              <w:left w:val="single" w:color="000000" w:sz="4" w:space="0"/>
              <w:bottom w:val="single" w:color="000000" w:sz="4" w:space="0"/>
              <w:right w:val="nil"/>
            </w:tcBorders>
            <w:vAlign w:val="center"/>
          </w:tcPr>
          <w:p w14:paraId="0D1C8D2C">
            <w:pPr>
              <w:widowControl/>
              <w:jc w:val="center"/>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学术分</w:t>
            </w:r>
          </w:p>
        </w:tc>
        <w:tc>
          <w:tcPr>
            <w:tcW w:w="1304" w:type="dxa"/>
            <w:tcBorders>
              <w:top w:val="nil"/>
              <w:left w:val="single" w:color="auto" w:sz="4" w:space="0"/>
              <w:bottom w:val="single" w:color="auto" w:sz="4" w:space="0"/>
              <w:right w:val="single" w:color="auto" w:sz="4" w:space="0"/>
            </w:tcBorders>
            <w:vAlign w:val="center"/>
          </w:tcPr>
          <w:p w14:paraId="21932DE5">
            <w:pPr>
              <w:widowControl/>
              <w:jc w:val="center"/>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7.2</w:t>
            </w:r>
            <w:r>
              <w:rPr>
                <w:rFonts w:hint="eastAsia" w:eastAsia="仿宋_GB2312"/>
                <w:color w:val="000000" w:themeColor="text1"/>
                <w:kern w:val="0"/>
                <w:szCs w:val="21"/>
                <w14:textFill>
                  <w14:solidFill>
                    <w14:schemeClr w14:val="tx1"/>
                  </w14:solidFill>
                </w14:textFill>
              </w:rPr>
              <w:t>分</w:t>
            </w:r>
          </w:p>
        </w:tc>
        <w:tc>
          <w:tcPr>
            <w:tcW w:w="1304" w:type="dxa"/>
            <w:tcBorders>
              <w:top w:val="nil"/>
              <w:left w:val="nil"/>
              <w:bottom w:val="single" w:color="auto" w:sz="4" w:space="0"/>
              <w:right w:val="single" w:color="auto" w:sz="4" w:space="0"/>
            </w:tcBorders>
            <w:vAlign w:val="center"/>
          </w:tcPr>
          <w:p w14:paraId="4346CB8C">
            <w:pPr>
              <w:widowControl/>
              <w:jc w:val="center"/>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10.8</w:t>
            </w:r>
            <w:r>
              <w:rPr>
                <w:rFonts w:hint="eastAsia" w:eastAsia="仿宋_GB2312"/>
                <w:color w:val="000000" w:themeColor="text1"/>
                <w:kern w:val="0"/>
                <w:szCs w:val="21"/>
                <w14:textFill>
                  <w14:solidFill>
                    <w14:schemeClr w14:val="tx1"/>
                  </w14:solidFill>
                </w14:textFill>
              </w:rPr>
              <w:t>分</w:t>
            </w:r>
          </w:p>
        </w:tc>
        <w:tc>
          <w:tcPr>
            <w:tcW w:w="1417" w:type="dxa"/>
            <w:tcBorders>
              <w:top w:val="nil"/>
              <w:left w:val="nil"/>
              <w:bottom w:val="single" w:color="auto" w:sz="4" w:space="0"/>
              <w:right w:val="single" w:color="auto" w:sz="4" w:space="0"/>
            </w:tcBorders>
            <w:vAlign w:val="center"/>
          </w:tcPr>
          <w:p w14:paraId="54F214DB">
            <w:pPr>
              <w:widowControl/>
              <w:jc w:val="center"/>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14.4</w:t>
            </w:r>
            <w:r>
              <w:rPr>
                <w:rFonts w:hint="eastAsia" w:eastAsia="仿宋_GB2312"/>
                <w:color w:val="000000" w:themeColor="text1"/>
                <w:kern w:val="0"/>
                <w:szCs w:val="21"/>
                <w14:textFill>
                  <w14:solidFill>
                    <w14:schemeClr w14:val="tx1"/>
                  </w14:solidFill>
                </w14:textFill>
              </w:rPr>
              <w:t>分</w:t>
            </w:r>
          </w:p>
        </w:tc>
        <w:tc>
          <w:tcPr>
            <w:tcW w:w="2494" w:type="dxa"/>
            <w:tcBorders>
              <w:top w:val="nil"/>
              <w:left w:val="nil"/>
              <w:bottom w:val="single" w:color="auto" w:sz="4" w:space="0"/>
              <w:right w:val="single" w:color="auto" w:sz="4" w:space="0"/>
            </w:tcBorders>
            <w:vAlign w:val="center"/>
          </w:tcPr>
          <w:p w14:paraId="3561131A">
            <w:pPr>
              <w:widowControl/>
              <w:jc w:val="center"/>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18</w:t>
            </w:r>
            <w:r>
              <w:rPr>
                <w:rFonts w:hint="eastAsia" w:eastAsia="仿宋_GB2312"/>
                <w:color w:val="000000" w:themeColor="text1"/>
                <w:kern w:val="0"/>
                <w:szCs w:val="21"/>
                <w14:textFill>
                  <w14:solidFill>
                    <w14:schemeClr w14:val="tx1"/>
                  </w14:solidFill>
                </w14:textFill>
              </w:rPr>
              <w:t>分</w:t>
            </w:r>
          </w:p>
        </w:tc>
      </w:tr>
    </w:tbl>
    <w:p w14:paraId="527100C6">
      <w:pPr>
        <w:widowControl/>
        <w:adjustRightIn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需要根据学科竞赛的学术影响力和难易程度，确定不同的难度系数（大于</w:t>
      </w:r>
      <w:r>
        <w:rPr>
          <w:rFonts w:eastAsia="仿宋_GB2312"/>
          <w:color w:val="000000" w:themeColor="text1"/>
          <w:sz w:val="28"/>
          <w:szCs w:val="28"/>
          <w14:textFill>
            <w14:solidFill>
              <w14:schemeClr w14:val="tx1"/>
            </w14:solidFill>
          </w14:textFill>
        </w:rPr>
        <w:t>0</w:t>
      </w:r>
      <w:r>
        <w:rPr>
          <w:rFonts w:hint="eastAsia" w:eastAsia="仿宋_GB2312"/>
          <w:color w:val="000000" w:themeColor="text1"/>
          <w:sz w:val="28"/>
          <w:szCs w:val="28"/>
          <w14:textFill>
            <w14:solidFill>
              <w14:schemeClr w14:val="tx1"/>
            </w14:solidFill>
          </w14:textFill>
        </w:rPr>
        <w:t>且小于等于</w:t>
      </w:r>
      <w:r>
        <w:rPr>
          <w:rFonts w:eastAsia="仿宋_GB2312"/>
          <w:color w:val="000000" w:themeColor="text1"/>
          <w:sz w:val="28"/>
          <w:szCs w:val="28"/>
          <w14:textFill>
            <w14:solidFill>
              <w14:schemeClr w14:val="tx1"/>
            </w14:solidFill>
          </w14:textFill>
        </w:rPr>
        <w:t>1</w:t>
      </w:r>
      <w:r>
        <w:rPr>
          <w:rFonts w:hint="eastAsia" w:eastAsia="仿宋_GB2312"/>
          <w:color w:val="000000" w:themeColor="text1"/>
          <w:sz w:val="28"/>
          <w:szCs w:val="28"/>
          <w14:textFill>
            <w14:solidFill>
              <w14:schemeClr w14:val="tx1"/>
            </w14:solidFill>
          </w14:textFill>
        </w:rPr>
        <w:t>）。学术分</w:t>
      </w:r>
      <w:r>
        <w:rPr>
          <w:rFonts w:eastAsia="仿宋_GB2312"/>
          <w:color w:val="000000" w:themeColor="text1"/>
          <w:sz w:val="28"/>
          <w:szCs w:val="28"/>
          <w14:textFill>
            <w14:solidFill>
              <w14:schemeClr w14:val="tx1"/>
            </w14:solidFill>
          </w14:textFill>
        </w:rPr>
        <w:t>=</w:t>
      </w:r>
      <w:r>
        <w:rPr>
          <w:rFonts w:hint="eastAsia" w:eastAsia="仿宋_GB2312"/>
          <w:color w:val="000000" w:themeColor="text1"/>
          <w:sz w:val="28"/>
          <w:szCs w:val="28"/>
          <w14:textFill>
            <w14:solidFill>
              <w14:schemeClr w14:val="tx1"/>
            </w14:solidFill>
          </w14:textFill>
        </w:rPr>
        <w:t>某一级别某种竞赛的学术分</w:t>
      </w:r>
      <w:r>
        <w:rPr>
          <w:rFonts w:eastAsia="仿宋_GB2312"/>
          <w:color w:val="000000" w:themeColor="text1"/>
          <w:sz w:val="28"/>
          <w:szCs w:val="28"/>
          <w14:textFill>
            <w14:solidFill>
              <w14:schemeClr w14:val="tx1"/>
            </w14:solidFill>
          </w14:textFill>
        </w:rPr>
        <w:t>×</w:t>
      </w:r>
      <w:r>
        <w:rPr>
          <w:rFonts w:hint="eastAsia" w:eastAsia="仿宋_GB2312"/>
          <w:color w:val="000000" w:themeColor="text1"/>
          <w:sz w:val="28"/>
          <w:szCs w:val="28"/>
          <w14:textFill>
            <w14:solidFill>
              <w14:schemeClr w14:val="tx1"/>
            </w14:solidFill>
          </w14:textFill>
        </w:rPr>
        <w:t>该竞赛的难度系数。参考《</w:t>
      </w:r>
      <w:r>
        <w:rPr>
          <w:rFonts w:eastAsia="仿宋_GB2312"/>
          <w:color w:val="000000" w:themeColor="text1"/>
          <w:sz w:val="28"/>
          <w:szCs w:val="28"/>
          <w14:textFill>
            <w14:solidFill>
              <w14:schemeClr w14:val="tx1"/>
            </w14:solidFill>
          </w14:textFill>
        </w:rPr>
        <w:t>2019</w:t>
      </w:r>
      <w:r>
        <w:rPr>
          <w:rFonts w:hint="eastAsia" w:eastAsia="仿宋_GB2312"/>
          <w:color w:val="000000" w:themeColor="text1"/>
          <w:sz w:val="28"/>
          <w:szCs w:val="28"/>
          <w14:textFill>
            <w14:solidFill>
              <w14:schemeClr w14:val="tx1"/>
            </w14:solidFill>
          </w14:textFill>
        </w:rPr>
        <w:t>年中国高校学科竞赛评估上榜竞赛项目名单》，表2列出了学院认定的学科竞赛项目名单及难度系数，每年将根据学校发布的A、B类学科竞赛项目名单进行更新。</w:t>
      </w:r>
    </w:p>
    <w:p w14:paraId="3875E00B">
      <w:pPr>
        <w:widowControl/>
        <w:adjustRightInd w:val="0"/>
        <w:spacing w:line="360" w:lineRule="auto"/>
        <w:jc w:val="center"/>
        <w:rPr>
          <w:rFonts w:ascii="仿宋_GB2312" w:hAnsi="仿宋" w:eastAsia="仿宋_GB2312"/>
          <w:b/>
          <w:color w:val="000000" w:themeColor="text1"/>
          <w:sz w:val="24"/>
          <w14:textFill>
            <w14:solidFill>
              <w14:schemeClr w14:val="tx1"/>
            </w14:solidFill>
          </w14:textFill>
        </w:rPr>
      </w:pPr>
    </w:p>
    <w:p w14:paraId="0508CBD6">
      <w:pPr>
        <w:widowControl/>
        <w:adjustRightInd w:val="0"/>
        <w:spacing w:line="360" w:lineRule="auto"/>
        <w:jc w:val="center"/>
        <w:rPr>
          <w:rFonts w:ascii="仿宋_GB2312"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表2 学科竞赛项目名单及相应难度系数</w:t>
      </w:r>
    </w:p>
    <w:tbl>
      <w:tblPr>
        <w:tblStyle w:val="7"/>
        <w:tblW w:w="8720" w:type="dxa"/>
        <w:jc w:val="center"/>
        <w:tblLayout w:type="fixed"/>
        <w:tblCellMar>
          <w:top w:w="0" w:type="dxa"/>
          <w:left w:w="108" w:type="dxa"/>
          <w:bottom w:w="0" w:type="dxa"/>
          <w:right w:w="108" w:type="dxa"/>
        </w:tblCellMar>
      </w:tblPr>
      <w:tblGrid>
        <w:gridCol w:w="6516"/>
        <w:gridCol w:w="2204"/>
      </w:tblGrid>
      <w:tr w14:paraId="05832AD6">
        <w:tblPrEx>
          <w:tblCellMar>
            <w:top w:w="0" w:type="dxa"/>
            <w:left w:w="108" w:type="dxa"/>
            <w:bottom w:w="0" w:type="dxa"/>
            <w:right w:w="108" w:type="dxa"/>
          </w:tblCellMar>
        </w:tblPrEx>
        <w:trPr>
          <w:jc w:val="center"/>
        </w:trPr>
        <w:tc>
          <w:tcPr>
            <w:tcW w:w="6516" w:type="dxa"/>
            <w:tcBorders>
              <w:top w:val="single" w:color="000000" w:sz="4" w:space="0"/>
              <w:left w:val="single" w:color="000000" w:sz="4" w:space="0"/>
              <w:bottom w:val="single" w:color="000000" w:sz="4" w:space="0"/>
              <w:right w:val="single" w:color="000000" w:sz="4" w:space="0"/>
            </w:tcBorders>
            <w:vAlign w:val="center"/>
          </w:tcPr>
          <w:p w14:paraId="0F29E1E1">
            <w:pPr>
              <w:widowControl/>
              <w:spacing w:before="124" w:beforeLines="40" w:after="124" w:afterLines="4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竞赛名称</w:t>
            </w:r>
          </w:p>
        </w:tc>
        <w:tc>
          <w:tcPr>
            <w:tcW w:w="2204" w:type="dxa"/>
            <w:tcBorders>
              <w:top w:val="single" w:color="000000" w:sz="4" w:space="0"/>
              <w:left w:val="nil"/>
              <w:bottom w:val="single" w:color="000000" w:sz="4" w:space="0"/>
              <w:right w:val="single" w:color="000000" w:sz="4" w:space="0"/>
            </w:tcBorders>
            <w:vAlign w:val="center"/>
          </w:tcPr>
          <w:p w14:paraId="18EC4B37">
            <w:pPr>
              <w:widowControl/>
              <w:spacing w:before="124" w:beforeLines="40" w:after="124" w:afterLines="4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难度系数</w:t>
            </w:r>
          </w:p>
        </w:tc>
      </w:tr>
      <w:tr w14:paraId="6FA82530">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0C12C147">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ACM-ICPC国际大学生程序设计竞赛</w:t>
            </w:r>
          </w:p>
        </w:tc>
        <w:tc>
          <w:tcPr>
            <w:tcW w:w="2204" w:type="dxa"/>
            <w:tcBorders>
              <w:top w:val="nil"/>
              <w:left w:val="nil"/>
              <w:bottom w:val="single" w:color="000000" w:sz="4" w:space="0"/>
              <w:right w:val="single" w:color="000000" w:sz="4" w:space="0"/>
            </w:tcBorders>
            <w:vAlign w:val="center"/>
          </w:tcPr>
          <w:p w14:paraId="5617729A">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1</w:t>
            </w:r>
          </w:p>
        </w:tc>
      </w:tr>
      <w:tr w14:paraId="07577139">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45A36BD5">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ascii="仿宋_GB2312" w:eastAsia="仿宋_GB2312"/>
                <w:color w:val="000000" w:themeColor="text1"/>
                <w:szCs w:val="21"/>
                <w14:textFill>
                  <w14:solidFill>
                    <w14:schemeClr w14:val="tx1"/>
                  </w14:solidFill>
                </w14:textFill>
              </w:rPr>
              <w:t>“</w:t>
            </w:r>
            <w:r>
              <w:rPr>
                <w:rFonts w:hint="eastAsia" w:ascii="仿宋_GB2312" w:eastAsia="仿宋_GB2312"/>
                <w:color w:val="000000" w:themeColor="text1"/>
                <w:szCs w:val="21"/>
                <w14:textFill>
                  <w14:solidFill>
                    <w14:schemeClr w14:val="tx1"/>
                  </w14:solidFill>
                </w14:textFill>
              </w:rPr>
              <w:t>挑战杯</w:t>
            </w:r>
            <w:r>
              <w:rPr>
                <w:rFonts w:ascii="仿宋_GB2312" w:eastAsia="仿宋_GB2312"/>
                <w:color w:val="000000" w:themeColor="text1"/>
                <w:szCs w:val="21"/>
                <w14:textFill>
                  <w14:solidFill>
                    <w14:schemeClr w14:val="tx1"/>
                  </w14:solidFill>
                </w14:textFill>
              </w:rPr>
              <w:t>”</w:t>
            </w:r>
            <w:r>
              <w:rPr>
                <w:rFonts w:hint="eastAsia" w:ascii="仿宋_GB2312" w:eastAsia="仿宋_GB2312"/>
                <w:color w:val="000000" w:themeColor="text1"/>
                <w:szCs w:val="21"/>
                <w14:textFill>
                  <w14:solidFill>
                    <w14:schemeClr w14:val="tx1"/>
                  </w14:solidFill>
                </w14:textFill>
              </w:rPr>
              <w:t>全国大学生课外学术科技作品竞赛</w:t>
            </w:r>
          </w:p>
        </w:tc>
        <w:tc>
          <w:tcPr>
            <w:tcW w:w="2204" w:type="dxa"/>
            <w:tcBorders>
              <w:top w:val="nil"/>
              <w:left w:val="nil"/>
              <w:bottom w:val="single" w:color="000000" w:sz="4" w:space="0"/>
              <w:right w:val="single" w:color="000000" w:sz="4" w:space="0"/>
            </w:tcBorders>
            <w:vAlign w:val="center"/>
          </w:tcPr>
          <w:p w14:paraId="22B0E44A">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1</w:t>
            </w:r>
          </w:p>
        </w:tc>
      </w:tr>
      <w:tr w14:paraId="486C47D5">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6B1FBE4B">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中国“互联网+”大学生创新创业大赛</w:t>
            </w:r>
          </w:p>
        </w:tc>
        <w:tc>
          <w:tcPr>
            <w:tcW w:w="2204" w:type="dxa"/>
            <w:tcBorders>
              <w:top w:val="nil"/>
              <w:left w:val="nil"/>
              <w:bottom w:val="single" w:color="000000" w:sz="4" w:space="0"/>
              <w:right w:val="single" w:color="000000" w:sz="4" w:space="0"/>
            </w:tcBorders>
            <w:vAlign w:val="center"/>
          </w:tcPr>
          <w:p w14:paraId="789A55C6">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1</w:t>
            </w:r>
          </w:p>
        </w:tc>
      </w:tr>
      <w:tr w14:paraId="74A10C18">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2A1D6DF5">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全国大学生电子设计竞赛</w:t>
            </w:r>
          </w:p>
        </w:tc>
        <w:tc>
          <w:tcPr>
            <w:tcW w:w="2204" w:type="dxa"/>
            <w:tcBorders>
              <w:top w:val="nil"/>
              <w:left w:val="nil"/>
              <w:bottom w:val="single" w:color="000000" w:sz="4" w:space="0"/>
              <w:right w:val="single" w:color="000000" w:sz="4" w:space="0"/>
            </w:tcBorders>
            <w:vAlign w:val="center"/>
          </w:tcPr>
          <w:p w14:paraId="6D014AB8">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1</w:t>
            </w:r>
          </w:p>
        </w:tc>
      </w:tr>
      <w:tr w14:paraId="1B7EEDF2">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47081BF6">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全国大学生数学建模竞赛</w:t>
            </w:r>
          </w:p>
        </w:tc>
        <w:tc>
          <w:tcPr>
            <w:tcW w:w="2204" w:type="dxa"/>
            <w:tcBorders>
              <w:top w:val="nil"/>
              <w:left w:val="nil"/>
              <w:bottom w:val="single" w:color="000000" w:sz="4" w:space="0"/>
              <w:right w:val="single" w:color="000000" w:sz="4" w:space="0"/>
            </w:tcBorders>
            <w:vAlign w:val="center"/>
          </w:tcPr>
          <w:p w14:paraId="265C9819">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1</w:t>
            </w:r>
          </w:p>
        </w:tc>
      </w:tr>
      <w:tr w14:paraId="58CB89A1">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4ECB6F75">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全球AI挑战赛</w:t>
            </w:r>
          </w:p>
        </w:tc>
        <w:tc>
          <w:tcPr>
            <w:tcW w:w="2204" w:type="dxa"/>
            <w:tcBorders>
              <w:top w:val="nil"/>
              <w:left w:val="nil"/>
              <w:bottom w:val="single" w:color="000000" w:sz="4" w:space="0"/>
              <w:right w:val="single" w:color="000000" w:sz="4" w:space="0"/>
            </w:tcBorders>
            <w:vAlign w:val="center"/>
          </w:tcPr>
          <w:p w14:paraId="5AE9B610">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2754B3C4">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73699FB2">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蓝桥杯全国软件和信息技术专业人才大赛</w:t>
            </w:r>
          </w:p>
        </w:tc>
        <w:tc>
          <w:tcPr>
            <w:tcW w:w="2204" w:type="dxa"/>
            <w:tcBorders>
              <w:top w:val="nil"/>
              <w:left w:val="nil"/>
              <w:bottom w:val="single" w:color="000000" w:sz="4" w:space="0"/>
              <w:right w:val="single" w:color="000000" w:sz="4" w:space="0"/>
            </w:tcBorders>
            <w:vAlign w:val="center"/>
          </w:tcPr>
          <w:p w14:paraId="1477D4AC">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1D915AA9">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2C6DDF63">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ascii="仿宋_GB2312" w:eastAsia="仿宋_GB2312"/>
                <w:color w:val="000000" w:themeColor="text1"/>
                <w:szCs w:val="21"/>
                <w14:textFill>
                  <w14:solidFill>
                    <w14:schemeClr w14:val="tx1"/>
                  </w14:solidFill>
                </w14:textFill>
              </w:rPr>
              <w:t>“</w:t>
            </w:r>
            <w:r>
              <w:rPr>
                <w:rFonts w:hint="eastAsia" w:ascii="仿宋_GB2312" w:eastAsia="仿宋_GB2312"/>
                <w:color w:val="000000" w:themeColor="text1"/>
                <w:szCs w:val="21"/>
                <w14:textFill>
                  <w14:solidFill>
                    <w14:schemeClr w14:val="tx1"/>
                  </w14:solidFill>
                </w14:textFill>
              </w:rPr>
              <w:t>中国软件杯</w:t>
            </w:r>
            <w:r>
              <w:rPr>
                <w:rFonts w:ascii="仿宋_GB2312" w:eastAsia="仿宋_GB2312"/>
                <w:color w:val="000000" w:themeColor="text1"/>
                <w:szCs w:val="21"/>
                <w14:textFill>
                  <w14:solidFill>
                    <w14:schemeClr w14:val="tx1"/>
                  </w14:solidFill>
                </w14:textFill>
              </w:rPr>
              <w:t>”</w:t>
            </w:r>
            <w:r>
              <w:rPr>
                <w:rFonts w:hint="eastAsia" w:ascii="仿宋_GB2312" w:eastAsia="仿宋_GB2312"/>
                <w:color w:val="000000" w:themeColor="text1"/>
                <w:szCs w:val="21"/>
                <w14:textFill>
                  <w14:solidFill>
                    <w14:schemeClr w14:val="tx1"/>
                  </w14:solidFill>
                </w14:textFill>
              </w:rPr>
              <w:t>大学生软件设计大赛</w:t>
            </w:r>
          </w:p>
        </w:tc>
        <w:tc>
          <w:tcPr>
            <w:tcW w:w="2204" w:type="dxa"/>
            <w:tcBorders>
              <w:top w:val="nil"/>
              <w:left w:val="nil"/>
              <w:bottom w:val="single" w:color="000000" w:sz="4" w:space="0"/>
              <w:right w:val="single" w:color="000000" w:sz="4" w:space="0"/>
            </w:tcBorders>
            <w:vAlign w:val="center"/>
          </w:tcPr>
          <w:p w14:paraId="5F51790D">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1EEC21FC">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0E75DDC5">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ascii="仿宋_GB2312" w:eastAsia="仿宋_GB2312"/>
                <w:color w:val="000000" w:themeColor="text1"/>
                <w:szCs w:val="21"/>
                <w14:textFill>
                  <w14:solidFill>
                    <w14:schemeClr w14:val="tx1"/>
                  </w14:solidFill>
                </w14:textFill>
              </w:rPr>
              <w:t>“</w:t>
            </w:r>
            <w:r>
              <w:rPr>
                <w:rFonts w:hint="eastAsia" w:ascii="仿宋_GB2312" w:eastAsia="仿宋_GB2312"/>
                <w:color w:val="000000" w:themeColor="text1"/>
                <w:szCs w:val="21"/>
                <w14:textFill>
                  <w14:solidFill>
                    <w14:schemeClr w14:val="tx1"/>
                  </w14:solidFill>
                </w14:textFill>
              </w:rPr>
              <w:t>华为杯</w:t>
            </w:r>
            <w:r>
              <w:rPr>
                <w:rFonts w:ascii="仿宋_GB2312" w:eastAsia="仿宋_GB2312"/>
                <w:color w:val="000000" w:themeColor="text1"/>
                <w:szCs w:val="21"/>
                <w14:textFill>
                  <w14:solidFill>
                    <w14:schemeClr w14:val="tx1"/>
                  </w14:solidFill>
                </w14:textFill>
              </w:rPr>
              <w:t>”</w:t>
            </w:r>
            <w:r>
              <w:rPr>
                <w:rFonts w:hint="eastAsia" w:ascii="仿宋_GB2312" w:eastAsia="仿宋_GB2312"/>
                <w:color w:val="000000" w:themeColor="text1"/>
                <w:szCs w:val="21"/>
                <w14:textFill>
                  <w14:solidFill>
                    <w14:schemeClr w14:val="tx1"/>
                  </w14:solidFill>
                </w14:textFill>
              </w:rPr>
              <w:t>大学生智能设计竞赛</w:t>
            </w:r>
          </w:p>
        </w:tc>
        <w:tc>
          <w:tcPr>
            <w:tcW w:w="2204" w:type="dxa"/>
            <w:tcBorders>
              <w:top w:val="nil"/>
              <w:left w:val="nil"/>
              <w:bottom w:val="single" w:color="000000" w:sz="4" w:space="0"/>
              <w:right w:val="single" w:color="000000" w:sz="4" w:space="0"/>
            </w:tcBorders>
            <w:vAlign w:val="center"/>
          </w:tcPr>
          <w:p w14:paraId="2726F8BA">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32354C15">
        <w:tblPrEx>
          <w:tblCellMar>
            <w:top w:w="0" w:type="dxa"/>
            <w:left w:w="108" w:type="dxa"/>
            <w:bottom w:w="0" w:type="dxa"/>
            <w:right w:w="108" w:type="dxa"/>
          </w:tblCellMar>
        </w:tblPrEx>
        <w:trPr>
          <w:jc w:val="center"/>
        </w:trPr>
        <w:tc>
          <w:tcPr>
            <w:tcW w:w="6516" w:type="dxa"/>
            <w:tcBorders>
              <w:top w:val="nil"/>
              <w:left w:val="single" w:color="000000" w:sz="4" w:space="0"/>
              <w:bottom w:val="single" w:color="auto" w:sz="4" w:space="0"/>
              <w:right w:val="single" w:color="000000" w:sz="4" w:space="0"/>
            </w:tcBorders>
            <w:vAlign w:val="center"/>
          </w:tcPr>
          <w:p w14:paraId="33C1BC5E">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“创青春”全国大学生创业计划大赛</w:t>
            </w:r>
          </w:p>
        </w:tc>
        <w:tc>
          <w:tcPr>
            <w:tcW w:w="2204" w:type="dxa"/>
            <w:tcBorders>
              <w:top w:val="nil"/>
              <w:left w:val="nil"/>
              <w:bottom w:val="single" w:color="auto" w:sz="4" w:space="0"/>
              <w:right w:val="single" w:color="000000" w:sz="4" w:space="0"/>
            </w:tcBorders>
            <w:vAlign w:val="center"/>
          </w:tcPr>
          <w:p w14:paraId="621B3497">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3C5CD1CA">
        <w:tblPrEx>
          <w:tblCellMar>
            <w:top w:w="0" w:type="dxa"/>
            <w:left w:w="108" w:type="dxa"/>
            <w:bottom w:w="0" w:type="dxa"/>
            <w:right w:w="108" w:type="dxa"/>
          </w:tblCellMar>
        </w:tblPrEx>
        <w:trPr>
          <w:trHeight w:val="615" w:hRule="atLeast"/>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26FE5F75">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“创青春”中国青年创新创业大赛</w:t>
            </w:r>
          </w:p>
        </w:tc>
        <w:tc>
          <w:tcPr>
            <w:tcW w:w="2204" w:type="dxa"/>
            <w:tcBorders>
              <w:top w:val="single" w:color="auto" w:sz="4" w:space="0"/>
              <w:left w:val="nil"/>
              <w:bottom w:val="single" w:color="auto" w:sz="4" w:space="0"/>
              <w:right w:val="single" w:color="000000" w:sz="4" w:space="0"/>
            </w:tcBorders>
            <w:vAlign w:val="center"/>
          </w:tcPr>
          <w:p w14:paraId="71CD0691">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6C5C60E2">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06D7E774">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“中国创翼”青年创业创新大赛</w:t>
            </w:r>
          </w:p>
        </w:tc>
        <w:tc>
          <w:tcPr>
            <w:tcW w:w="2204" w:type="dxa"/>
            <w:tcBorders>
              <w:top w:val="single" w:color="auto" w:sz="4" w:space="0"/>
              <w:left w:val="nil"/>
              <w:bottom w:val="single" w:color="auto" w:sz="4" w:space="0"/>
              <w:right w:val="single" w:color="000000" w:sz="4" w:space="0"/>
            </w:tcBorders>
            <w:vAlign w:val="center"/>
          </w:tcPr>
          <w:p w14:paraId="0C3769E9">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1FB4FF72">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2F0B1E29">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“创客中国”创新创业大赛</w:t>
            </w:r>
          </w:p>
        </w:tc>
        <w:tc>
          <w:tcPr>
            <w:tcW w:w="2204" w:type="dxa"/>
            <w:tcBorders>
              <w:top w:val="single" w:color="auto" w:sz="4" w:space="0"/>
              <w:left w:val="nil"/>
              <w:bottom w:val="single" w:color="auto" w:sz="4" w:space="0"/>
              <w:right w:val="single" w:color="000000" w:sz="4" w:space="0"/>
            </w:tcBorders>
            <w:vAlign w:val="center"/>
          </w:tcPr>
          <w:p w14:paraId="4D843EF4">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33A80FBF">
        <w:tblPrEx>
          <w:tblCellMar>
            <w:top w:w="0" w:type="dxa"/>
            <w:left w:w="108" w:type="dxa"/>
            <w:bottom w:w="0" w:type="dxa"/>
            <w:right w:w="108" w:type="dxa"/>
          </w:tblCellMar>
        </w:tblPrEx>
        <w:trPr>
          <w:jc w:val="center"/>
        </w:trPr>
        <w:tc>
          <w:tcPr>
            <w:tcW w:w="6516" w:type="dxa"/>
            <w:tcBorders>
              <w:top w:val="single" w:color="auto" w:sz="4" w:space="0"/>
              <w:left w:val="single" w:color="auto" w:sz="4" w:space="0"/>
              <w:bottom w:val="single" w:color="auto" w:sz="4" w:space="0"/>
              <w:right w:val="single" w:color="auto" w:sz="4" w:space="0"/>
            </w:tcBorders>
            <w:vAlign w:val="center"/>
          </w:tcPr>
          <w:p w14:paraId="1A9FD653">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团中央“微创业”大赛</w:t>
            </w:r>
          </w:p>
        </w:tc>
        <w:tc>
          <w:tcPr>
            <w:tcW w:w="2204" w:type="dxa"/>
            <w:tcBorders>
              <w:top w:val="single" w:color="auto" w:sz="4" w:space="0"/>
              <w:left w:val="single" w:color="auto" w:sz="4" w:space="0"/>
              <w:bottom w:val="single" w:color="auto" w:sz="4" w:space="0"/>
              <w:right w:val="single" w:color="auto" w:sz="4" w:space="0"/>
            </w:tcBorders>
            <w:vAlign w:val="center"/>
          </w:tcPr>
          <w:p w14:paraId="14F59C2A">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7042FA57">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539E9E3C">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中国高校智能机器人创业大赛</w:t>
            </w:r>
          </w:p>
        </w:tc>
        <w:tc>
          <w:tcPr>
            <w:tcW w:w="2204" w:type="dxa"/>
            <w:tcBorders>
              <w:top w:val="single" w:color="auto" w:sz="4" w:space="0"/>
              <w:left w:val="nil"/>
              <w:bottom w:val="single" w:color="auto" w:sz="4" w:space="0"/>
              <w:right w:val="single" w:color="000000" w:sz="4" w:space="0"/>
            </w:tcBorders>
            <w:vAlign w:val="center"/>
          </w:tcPr>
          <w:p w14:paraId="320FDA53">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0D8F7788">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372C6DCF">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“创青春”陕西省大学生创业大赛</w:t>
            </w:r>
          </w:p>
        </w:tc>
        <w:tc>
          <w:tcPr>
            <w:tcW w:w="2204" w:type="dxa"/>
            <w:tcBorders>
              <w:top w:val="single" w:color="auto" w:sz="4" w:space="0"/>
              <w:left w:val="nil"/>
              <w:bottom w:val="single" w:color="auto" w:sz="4" w:space="0"/>
              <w:right w:val="single" w:color="000000" w:sz="4" w:space="0"/>
            </w:tcBorders>
            <w:vAlign w:val="center"/>
          </w:tcPr>
          <w:p w14:paraId="0646F0C3">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0AE7DD28">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7797B0AA">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全国大学生电子商务“创新、创意及创业”挑战赛</w:t>
            </w:r>
          </w:p>
        </w:tc>
        <w:tc>
          <w:tcPr>
            <w:tcW w:w="2204" w:type="dxa"/>
            <w:tcBorders>
              <w:top w:val="single" w:color="auto" w:sz="4" w:space="0"/>
              <w:left w:val="nil"/>
              <w:bottom w:val="single" w:color="auto" w:sz="4" w:space="0"/>
              <w:right w:val="single" w:color="000000" w:sz="4" w:space="0"/>
            </w:tcBorders>
            <w:vAlign w:val="center"/>
          </w:tcPr>
          <w:p w14:paraId="78EDAC5D">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2EF3D70E">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7E39C7B7">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美国大学生数学建模竞赛（MCM/ICM）</w:t>
            </w:r>
          </w:p>
        </w:tc>
        <w:tc>
          <w:tcPr>
            <w:tcW w:w="2204" w:type="dxa"/>
            <w:tcBorders>
              <w:top w:val="single" w:color="auto" w:sz="4" w:space="0"/>
              <w:left w:val="nil"/>
              <w:bottom w:val="single" w:color="auto" w:sz="4" w:space="0"/>
              <w:right w:val="single" w:color="000000" w:sz="4" w:space="0"/>
            </w:tcBorders>
            <w:vAlign w:val="center"/>
          </w:tcPr>
          <w:p w14:paraId="0DC9E035">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7D0421BD">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7E6124C0">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全国大学生数学竞赛</w:t>
            </w:r>
          </w:p>
        </w:tc>
        <w:tc>
          <w:tcPr>
            <w:tcW w:w="2204" w:type="dxa"/>
            <w:tcBorders>
              <w:top w:val="single" w:color="auto" w:sz="4" w:space="0"/>
              <w:left w:val="nil"/>
              <w:bottom w:val="single" w:color="auto" w:sz="4" w:space="0"/>
              <w:right w:val="single" w:color="000000" w:sz="4" w:space="0"/>
            </w:tcBorders>
            <w:vAlign w:val="center"/>
          </w:tcPr>
          <w:p w14:paraId="01ADF67B">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54F88A73">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401541FC">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全国大学生机器人大赛</w:t>
            </w:r>
            <w:r>
              <w:rPr>
                <w:rFonts w:ascii="仿宋_GB2312" w:eastAsia="仿宋_GB2312"/>
                <w:color w:val="000000" w:themeColor="text1"/>
                <w:szCs w:val="21"/>
                <w14:textFill>
                  <w14:solidFill>
                    <w14:schemeClr w14:val="tx1"/>
                  </w14:solidFill>
                </w14:textFill>
              </w:rPr>
              <w:t> </w:t>
            </w:r>
            <w:r>
              <w:rPr>
                <w:rFonts w:hint="eastAsia" w:ascii="仿宋_GB2312" w:eastAsia="仿宋_GB2312"/>
                <w:color w:val="000000" w:themeColor="text1"/>
                <w:szCs w:val="21"/>
                <w14:textFill>
                  <w14:solidFill>
                    <w14:schemeClr w14:val="tx1"/>
                  </w14:solidFill>
                </w14:textFill>
              </w:rPr>
              <w:t>-RoboMaster、RoboCon、RoboTac</w:t>
            </w:r>
          </w:p>
        </w:tc>
        <w:tc>
          <w:tcPr>
            <w:tcW w:w="2204" w:type="dxa"/>
            <w:tcBorders>
              <w:top w:val="single" w:color="auto" w:sz="4" w:space="0"/>
              <w:left w:val="nil"/>
              <w:bottom w:val="single" w:color="auto" w:sz="4" w:space="0"/>
              <w:right w:val="single" w:color="000000" w:sz="4" w:space="0"/>
            </w:tcBorders>
            <w:vAlign w:val="center"/>
          </w:tcPr>
          <w:p w14:paraId="596B39AF">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29903D05">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765F47CD">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中国服务机器人大赛</w:t>
            </w:r>
          </w:p>
        </w:tc>
        <w:tc>
          <w:tcPr>
            <w:tcW w:w="2204" w:type="dxa"/>
            <w:tcBorders>
              <w:top w:val="nil"/>
              <w:left w:val="nil"/>
              <w:bottom w:val="single" w:color="000000" w:sz="4" w:space="0"/>
              <w:right w:val="single" w:color="000000" w:sz="4" w:space="0"/>
            </w:tcBorders>
            <w:vAlign w:val="center"/>
          </w:tcPr>
          <w:p w14:paraId="21FB2D2E">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5E0D0654">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3265134E">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全国大学生智能农业装备创新大赛</w:t>
            </w:r>
          </w:p>
        </w:tc>
        <w:tc>
          <w:tcPr>
            <w:tcW w:w="2204" w:type="dxa"/>
            <w:tcBorders>
              <w:top w:val="nil"/>
              <w:left w:val="nil"/>
              <w:bottom w:val="single" w:color="000000" w:sz="4" w:space="0"/>
              <w:right w:val="single" w:color="000000" w:sz="4" w:space="0"/>
            </w:tcBorders>
            <w:vAlign w:val="center"/>
          </w:tcPr>
          <w:p w14:paraId="4F175CE0">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79AF82D1">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465F9464">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全国高校移动互联网应用开发创新大赛</w:t>
            </w:r>
          </w:p>
        </w:tc>
        <w:tc>
          <w:tcPr>
            <w:tcW w:w="2204" w:type="dxa"/>
            <w:tcBorders>
              <w:top w:val="nil"/>
              <w:left w:val="nil"/>
              <w:bottom w:val="single" w:color="000000" w:sz="4" w:space="0"/>
              <w:right w:val="single" w:color="000000" w:sz="4" w:space="0"/>
            </w:tcBorders>
            <w:vAlign w:val="center"/>
          </w:tcPr>
          <w:p w14:paraId="57CD9BFA">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4D649776">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40D9F1B6">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全国大学生会计信息化技能竞赛</w:t>
            </w:r>
          </w:p>
        </w:tc>
        <w:tc>
          <w:tcPr>
            <w:tcW w:w="2204" w:type="dxa"/>
            <w:tcBorders>
              <w:top w:val="nil"/>
              <w:left w:val="nil"/>
              <w:bottom w:val="single" w:color="000000" w:sz="4" w:space="0"/>
              <w:right w:val="single" w:color="000000" w:sz="4" w:space="0"/>
            </w:tcBorders>
            <w:vAlign w:val="center"/>
          </w:tcPr>
          <w:p w14:paraId="037538AF">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5501EC7B">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106532E4">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中国高校计算机大赛</w:t>
            </w:r>
            <w:r>
              <w:rPr>
                <w:rFonts w:ascii="仿宋_GB2312" w:eastAsia="仿宋_GB2312"/>
                <w:color w:val="000000" w:themeColor="text1"/>
                <w:szCs w:val="21"/>
                <w14:textFill>
                  <w14:solidFill>
                    <w14:schemeClr w14:val="tx1"/>
                  </w14:solidFill>
                </w14:textFill>
              </w:rPr>
              <w:t> </w:t>
            </w:r>
            <w:r>
              <w:rPr>
                <w:rFonts w:hint="eastAsia" w:ascii="仿宋_GB2312" w:eastAsia="仿宋_GB2312"/>
                <w:color w:val="000000" w:themeColor="text1"/>
                <w:szCs w:val="21"/>
                <w14:textFill>
                  <w14:solidFill>
                    <w14:schemeClr w14:val="tx1"/>
                  </w14:solidFill>
                </w14:textFill>
              </w:rPr>
              <w:t>-大数据挑战赛、团体程序设计天梯赛、移动应用创新赛、网络技术挑战赛</w:t>
            </w:r>
          </w:p>
        </w:tc>
        <w:tc>
          <w:tcPr>
            <w:tcW w:w="2204" w:type="dxa"/>
            <w:tcBorders>
              <w:top w:val="nil"/>
              <w:left w:val="nil"/>
              <w:bottom w:val="single" w:color="000000" w:sz="4" w:space="0"/>
              <w:right w:val="single" w:color="000000" w:sz="4" w:space="0"/>
            </w:tcBorders>
            <w:vAlign w:val="center"/>
          </w:tcPr>
          <w:p w14:paraId="5E7E8389">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14D47FD0">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7EF7E893">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陕西省高等数学竞赛</w:t>
            </w:r>
          </w:p>
        </w:tc>
        <w:tc>
          <w:tcPr>
            <w:tcW w:w="2204" w:type="dxa"/>
            <w:tcBorders>
              <w:top w:val="nil"/>
              <w:left w:val="nil"/>
              <w:bottom w:val="single" w:color="000000" w:sz="4" w:space="0"/>
              <w:right w:val="single" w:color="000000" w:sz="4" w:space="0"/>
            </w:tcBorders>
            <w:vAlign w:val="center"/>
          </w:tcPr>
          <w:p w14:paraId="18F6D6CF">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0.8</w:t>
            </w:r>
          </w:p>
        </w:tc>
      </w:tr>
      <w:tr w14:paraId="69284BD9">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62A56B4B">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中国机器人大赛暨</w:t>
            </w:r>
            <w:r>
              <w:rPr>
                <w:rFonts w:ascii="仿宋_GB2312" w:eastAsia="仿宋_GB2312"/>
                <w:bCs/>
                <w:color w:val="000000" w:themeColor="text1"/>
                <w:szCs w:val="21"/>
                <w14:textFill>
                  <w14:solidFill>
                    <w14:schemeClr w14:val="tx1"/>
                  </w14:solidFill>
                </w14:textFill>
              </w:rPr>
              <w:t> </w:t>
            </w:r>
            <w:r>
              <w:rPr>
                <w:rFonts w:hint="eastAsia" w:ascii="仿宋_GB2312" w:eastAsia="仿宋_GB2312"/>
                <w:bCs/>
                <w:color w:val="000000" w:themeColor="text1"/>
                <w:szCs w:val="21"/>
                <w14:textFill>
                  <w14:solidFill>
                    <w14:schemeClr w14:val="tx1"/>
                  </w14:solidFill>
                </w14:textFill>
              </w:rPr>
              <w:t>RoboCup机器人世界杯中国赛</w:t>
            </w:r>
          </w:p>
        </w:tc>
        <w:tc>
          <w:tcPr>
            <w:tcW w:w="2204" w:type="dxa"/>
            <w:tcBorders>
              <w:top w:val="nil"/>
              <w:left w:val="nil"/>
              <w:bottom w:val="single" w:color="000000" w:sz="4" w:space="0"/>
              <w:right w:val="single" w:color="000000" w:sz="4" w:space="0"/>
            </w:tcBorders>
            <w:vAlign w:val="center"/>
          </w:tcPr>
          <w:p w14:paraId="53C63FBD">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0.8</w:t>
            </w:r>
          </w:p>
        </w:tc>
      </w:tr>
      <w:tr w14:paraId="6B9DB0AE">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10F67CF4">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全国大学生智能汽车竞赛</w:t>
            </w:r>
          </w:p>
        </w:tc>
        <w:tc>
          <w:tcPr>
            <w:tcW w:w="2204" w:type="dxa"/>
            <w:tcBorders>
              <w:top w:val="nil"/>
              <w:left w:val="nil"/>
              <w:bottom w:val="single" w:color="000000" w:sz="4" w:space="0"/>
              <w:right w:val="single" w:color="000000" w:sz="4" w:space="0"/>
            </w:tcBorders>
            <w:vAlign w:val="center"/>
          </w:tcPr>
          <w:p w14:paraId="188301F9">
            <w:pPr>
              <w:jc w:val="center"/>
              <w:rPr>
                <w:color w:val="000000" w:themeColor="text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0.8</w:t>
            </w:r>
          </w:p>
        </w:tc>
      </w:tr>
      <w:tr w14:paraId="3DF45567">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2DADA5F6">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全国大学生先进成图技术与产品信息建模创新大赛</w:t>
            </w:r>
          </w:p>
        </w:tc>
        <w:tc>
          <w:tcPr>
            <w:tcW w:w="2204" w:type="dxa"/>
            <w:tcBorders>
              <w:top w:val="nil"/>
              <w:left w:val="nil"/>
              <w:bottom w:val="single" w:color="000000" w:sz="4" w:space="0"/>
              <w:right w:val="single" w:color="000000" w:sz="4" w:space="0"/>
            </w:tcBorders>
            <w:vAlign w:val="center"/>
          </w:tcPr>
          <w:p w14:paraId="1CFD76BD">
            <w:pPr>
              <w:jc w:val="center"/>
              <w:rPr>
                <w:color w:val="000000" w:themeColor="text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0.8</w:t>
            </w:r>
          </w:p>
        </w:tc>
      </w:tr>
      <w:tr w14:paraId="364EABF4">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67F54EB5">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全国大学生信息安全竞赛</w:t>
            </w:r>
          </w:p>
        </w:tc>
        <w:tc>
          <w:tcPr>
            <w:tcW w:w="2204" w:type="dxa"/>
            <w:tcBorders>
              <w:top w:val="nil"/>
              <w:left w:val="nil"/>
              <w:bottom w:val="single" w:color="000000" w:sz="4" w:space="0"/>
              <w:right w:val="single" w:color="000000" w:sz="4" w:space="0"/>
            </w:tcBorders>
            <w:vAlign w:val="center"/>
          </w:tcPr>
          <w:p w14:paraId="7AA79CDD">
            <w:pPr>
              <w:jc w:val="center"/>
              <w:rPr>
                <w:color w:val="000000" w:themeColor="text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0.8</w:t>
            </w:r>
          </w:p>
        </w:tc>
      </w:tr>
      <w:tr w14:paraId="7B1B94BD">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0DEDF8C0">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全国高校数字艺术设计大赛</w:t>
            </w:r>
          </w:p>
        </w:tc>
        <w:tc>
          <w:tcPr>
            <w:tcW w:w="2204" w:type="dxa"/>
            <w:tcBorders>
              <w:top w:val="nil"/>
              <w:left w:val="nil"/>
              <w:bottom w:val="single" w:color="000000" w:sz="4" w:space="0"/>
              <w:right w:val="single" w:color="000000" w:sz="4" w:space="0"/>
            </w:tcBorders>
            <w:vAlign w:val="center"/>
          </w:tcPr>
          <w:p w14:paraId="33C8DE11">
            <w:pPr>
              <w:jc w:val="center"/>
              <w:rPr>
                <w:color w:val="000000" w:themeColor="text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0.8</w:t>
            </w:r>
          </w:p>
        </w:tc>
      </w:tr>
      <w:tr w14:paraId="25D433B2">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4C130D79">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未来杯高校AI挑战赛</w:t>
            </w:r>
          </w:p>
        </w:tc>
        <w:tc>
          <w:tcPr>
            <w:tcW w:w="2204" w:type="dxa"/>
            <w:tcBorders>
              <w:top w:val="nil"/>
              <w:left w:val="nil"/>
              <w:bottom w:val="single" w:color="000000" w:sz="4" w:space="0"/>
              <w:right w:val="single" w:color="000000" w:sz="4" w:space="0"/>
            </w:tcBorders>
            <w:vAlign w:val="center"/>
          </w:tcPr>
          <w:p w14:paraId="4EE9E76E">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0.6</w:t>
            </w:r>
          </w:p>
        </w:tc>
      </w:tr>
      <w:tr w14:paraId="613FFC9B">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6BE2D092">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中国大学生计算机设计大赛</w:t>
            </w:r>
          </w:p>
        </w:tc>
        <w:tc>
          <w:tcPr>
            <w:tcW w:w="2204" w:type="dxa"/>
            <w:tcBorders>
              <w:top w:val="nil"/>
              <w:left w:val="nil"/>
              <w:bottom w:val="single" w:color="000000" w:sz="4" w:space="0"/>
              <w:right w:val="single" w:color="000000" w:sz="4" w:space="0"/>
            </w:tcBorders>
            <w:vAlign w:val="center"/>
          </w:tcPr>
          <w:p w14:paraId="215AFF56">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0.6</w:t>
            </w:r>
          </w:p>
        </w:tc>
      </w:tr>
      <w:tr w14:paraId="7A5E2E59">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69ECD90A">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中国高校计算机大赛人工智能创意赛</w:t>
            </w:r>
          </w:p>
        </w:tc>
        <w:tc>
          <w:tcPr>
            <w:tcW w:w="2204" w:type="dxa"/>
            <w:tcBorders>
              <w:top w:val="nil"/>
              <w:left w:val="nil"/>
              <w:bottom w:val="single" w:color="000000" w:sz="4" w:space="0"/>
              <w:right w:val="single" w:color="000000" w:sz="4" w:space="0"/>
            </w:tcBorders>
            <w:vAlign w:val="center"/>
          </w:tcPr>
          <w:p w14:paraId="5A725E13">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0.5</w:t>
            </w:r>
          </w:p>
        </w:tc>
      </w:tr>
      <w:tr w14:paraId="04F75274">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77F77684">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中国高校智能机器人创意大赛</w:t>
            </w:r>
          </w:p>
        </w:tc>
        <w:tc>
          <w:tcPr>
            <w:tcW w:w="2204" w:type="dxa"/>
            <w:tcBorders>
              <w:top w:val="nil"/>
              <w:left w:val="nil"/>
              <w:bottom w:val="single" w:color="000000" w:sz="4" w:space="0"/>
              <w:right w:val="single" w:color="000000" w:sz="4" w:space="0"/>
            </w:tcBorders>
            <w:vAlign w:val="center"/>
          </w:tcPr>
          <w:p w14:paraId="31BC76DA">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0.</w:t>
            </w:r>
            <w:r>
              <w:rPr>
                <w:rFonts w:ascii="仿宋_GB2312" w:eastAsia="仿宋_GB2312"/>
                <w:color w:val="000000" w:themeColor="text1"/>
                <w:szCs w:val="21"/>
                <w14:textFill>
                  <w14:solidFill>
                    <w14:schemeClr w14:val="tx1"/>
                  </w14:solidFill>
                </w14:textFill>
              </w:rPr>
              <w:t>5</w:t>
            </w:r>
          </w:p>
        </w:tc>
      </w:tr>
      <w:tr w14:paraId="718C140E">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2D84792D">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Mathor Cup高校数学建模挑战赛</w:t>
            </w:r>
          </w:p>
        </w:tc>
        <w:tc>
          <w:tcPr>
            <w:tcW w:w="2204" w:type="dxa"/>
            <w:tcBorders>
              <w:top w:val="single" w:color="auto" w:sz="4" w:space="0"/>
              <w:left w:val="nil"/>
              <w:bottom w:val="single" w:color="auto" w:sz="4" w:space="0"/>
              <w:right w:val="single" w:color="000000" w:sz="4" w:space="0"/>
            </w:tcBorders>
            <w:vAlign w:val="center"/>
          </w:tcPr>
          <w:p w14:paraId="6C9D0CE4">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0.2</w:t>
            </w:r>
          </w:p>
        </w:tc>
      </w:tr>
      <w:tr w14:paraId="7E59F4A1">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7D66777B">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易班“心创易”软件设计大赛</w:t>
            </w:r>
          </w:p>
        </w:tc>
        <w:tc>
          <w:tcPr>
            <w:tcW w:w="2204" w:type="dxa"/>
            <w:tcBorders>
              <w:top w:val="single" w:color="auto" w:sz="4" w:space="0"/>
              <w:left w:val="nil"/>
              <w:bottom w:val="single" w:color="auto" w:sz="4" w:space="0"/>
              <w:right w:val="single" w:color="000000" w:sz="4" w:space="0"/>
            </w:tcBorders>
            <w:vAlign w:val="center"/>
          </w:tcPr>
          <w:p w14:paraId="0EAFA454">
            <w:pPr>
              <w:widowControl/>
              <w:spacing w:before="124" w:beforeLines="40" w:after="124" w:afterLines="40"/>
              <w:jc w:val="center"/>
              <w:rPr>
                <w:rFonts w:ascii="仿宋_GB2312" w:eastAsia="仿宋_GB2312"/>
                <w:bCs/>
                <w:color w:val="000000" w:themeColor="text1"/>
                <w:szCs w:val="21"/>
                <w14:textFill>
                  <w14:solidFill>
                    <w14:schemeClr w14:val="tx1"/>
                  </w14:solidFill>
                </w14:textFill>
              </w:rPr>
            </w:pPr>
            <w:r>
              <w:rPr>
                <w:rFonts w:hint="eastAsia" w:ascii="仿宋_GB2312" w:eastAsia="仿宋_GB2312"/>
                <w:bCs/>
                <w:color w:val="000000" w:themeColor="text1"/>
                <w:szCs w:val="21"/>
                <w14:textFill>
                  <w14:solidFill>
                    <w14:schemeClr w14:val="tx1"/>
                  </w14:solidFill>
                </w14:textFill>
              </w:rPr>
              <w:t>0.2</w:t>
            </w:r>
          </w:p>
        </w:tc>
      </w:tr>
      <w:tr w14:paraId="1F54E7D7">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7A8959C5">
            <w:pPr>
              <w:widowControl/>
              <w:spacing w:before="124" w:beforeLines="40" w:after="124" w:afterLines="40"/>
              <w:jc w:val="center"/>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其他未列入此表内的信息类竞赛，由学院推免生遴选工作小组认定</w:t>
            </w:r>
          </w:p>
        </w:tc>
        <w:tc>
          <w:tcPr>
            <w:tcW w:w="2204" w:type="dxa"/>
            <w:tcBorders>
              <w:top w:val="single" w:color="auto" w:sz="4" w:space="0"/>
              <w:left w:val="nil"/>
              <w:bottom w:val="single" w:color="auto" w:sz="4" w:space="0"/>
              <w:right w:val="single" w:color="000000" w:sz="4" w:space="0"/>
            </w:tcBorders>
            <w:vAlign w:val="center"/>
          </w:tcPr>
          <w:p w14:paraId="5874BE03">
            <w:pPr>
              <w:widowControl/>
              <w:spacing w:before="124" w:beforeLines="40" w:after="124" w:afterLines="4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待定</w:t>
            </w:r>
          </w:p>
        </w:tc>
      </w:tr>
    </w:tbl>
    <w:p w14:paraId="6DAF841A">
      <w:pPr>
        <w:widowControl/>
        <w:adjustRightIn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除最高名次以外，获得其他名次的学术分依次递减，规定如下：若以一等奖、二等奖的方式排名，以最高奖为基本分，每降低一个等级，学术分为前一等级的</w:t>
      </w:r>
      <w:r>
        <w:rPr>
          <w:rFonts w:eastAsia="仿宋_GB2312"/>
          <w:color w:val="000000" w:themeColor="text1"/>
          <w:sz w:val="28"/>
          <w:szCs w:val="28"/>
          <w14:textFill>
            <w14:solidFill>
              <w14:schemeClr w14:val="tx1"/>
            </w14:solidFill>
          </w14:textFill>
        </w:rPr>
        <w:t>80%</w:t>
      </w:r>
      <w:r>
        <w:rPr>
          <w:rFonts w:hint="eastAsia" w:eastAsia="仿宋_GB2312"/>
          <w:color w:val="000000" w:themeColor="text1"/>
          <w:sz w:val="28"/>
          <w:szCs w:val="28"/>
          <w14:textFill>
            <w14:solidFill>
              <w14:schemeClr w14:val="tx1"/>
            </w14:solidFill>
          </w14:textFill>
        </w:rPr>
        <w:t>。校级以下（含校级）优秀奖不予计分。</w:t>
      </w:r>
    </w:p>
    <w:p w14:paraId="69E3DE5B">
      <w:pPr>
        <w:widowControl/>
        <w:adjustRightIn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在我校举办的学科竞赛校内选拔赛，其获奖不计入学科竞赛获奖。若同一作品在各类比赛中多次获奖，不累计计分，只认定最高学术分；若多次参加同一比赛项目获奖，不累计计分，只认定最高学术分。</w:t>
      </w:r>
    </w:p>
    <w:p w14:paraId="6EBB11DD">
      <w:pPr>
        <w:widowControl/>
        <w:adjustRightInd w:val="0"/>
        <w:spacing w:line="360" w:lineRule="auto"/>
        <w:ind w:firstLine="560" w:firstLineChars="200"/>
        <w:rPr>
          <w:rFonts w:eastAsia="仿宋_GB2312"/>
          <w:b/>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②</w:t>
      </w:r>
      <w:r>
        <w:rPr>
          <w:rFonts w:hint="eastAsia" w:eastAsia="仿宋_GB2312"/>
          <w:b/>
          <w:bCs/>
          <w:color w:val="000000" w:themeColor="text1"/>
          <w:sz w:val="28"/>
          <w:szCs w:val="28"/>
          <w14:textFill>
            <w14:solidFill>
              <w14:schemeClr w14:val="tx1"/>
            </w14:solidFill>
          </w14:textFill>
        </w:rPr>
        <w:t>学术论文和专利、软著（满分</w:t>
      </w:r>
      <w:r>
        <w:rPr>
          <w:rFonts w:eastAsia="仿宋_GB2312"/>
          <w:b/>
          <w:bCs/>
          <w:color w:val="000000" w:themeColor="text1"/>
          <w:sz w:val="28"/>
          <w:szCs w:val="28"/>
          <w14:textFill>
            <w14:solidFill>
              <w14:schemeClr w14:val="tx1"/>
            </w14:solidFill>
          </w14:textFill>
        </w:rPr>
        <w:t>1</w:t>
      </w:r>
      <w:r>
        <w:rPr>
          <w:rFonts w:hint="eastAsia" w:eastAsia="仿宋_GB2312"/>
          <w:b/>
          <w:bCs/>
          <w:color w:val="000000" w:themeColor="text1"/>
          <w:sz w:val="28"/>
          <w:szCs w:val="28"/>
          <w14:textFill>
            <w14:solidFill>
              <w14:schemeClr w14:val="tx1"/>
            </w14:solidFill>
          </w14:textFill>
        </w:rPr>
        <w:t>3分）</w:t>
      </w:r>
    </w:p>
    <w:p w14:paraId="48EB92B4">
      <w:pPr>
        <w:widowControl/>
        <w:adjustRightIn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学术论文有收录论文和其他论文2种计算方法。</w:t>
      </w:r>
    </w:p>
    <w:p w14:paraId="161E8EA1">
      <w:pPr>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color w:val="000000" w:themeColor="text1"/>
          <w:sz w:val="28"/>
          <w:szCs w:val="28"/>
          <w14:textFill>
            <w14:solidFill>
              <w14:schemeClr w14:val="tx1"/>
            </w14:solidFill>
          </w14:textFill>
        </w:rPr>
        <w:t>收录论文计算方法。</w:t>
      </w:r>
      <w:r>
        <w:rPr>
          <w:rFonts w:hint="eastAsia" w:eastAsia="仿宋_GB2312"/>
          <w:color w:val="000000" w:themeColor="text1"/>
          <w:sz w:val="28"/>
          <w:szCs w:val="28"/>
          <w14:textFill>
            <w14:solidFill>
              <w14:schemeClr w14:val="tx1"/>
            </w14:solidFill>
          </w14:textFill>
        </w:rPr>
        <w:t>被国际三大检索（</w:t>
      </w:r>
      <w:r>
        <w:rPr>
          <w:rFonts w:eastAsia="仿宋_GB2312"/>
          <w:color w:val="000000" w:themeColor="text1"/>
          <w:sz w:val="28"/>
          <w:szCs w:val="28"/>
          <w14:textFill>
            <w14:solidFill>
              <w14:schemeClr w14:val="tx1"/>
            </w14:solidFill>
          </w14:textFill>
        </w:rPr>
        <w:t>SCI</w:t>
      </w:r>
      <w:r>
        <w:rPr>
          <w:rFonts w:hint="eastAsia" w:eastAsia="仿宋_GB2312"/>
          <w:color w:val="000000" w:themeColor="text1"/>
          <w:sz w:val="28"/>
          <w:szCs w:val="28"/>
          <w14:textFill>
            <w14:solidFill>
              <w14:schemeClr w14:val="tx1"/>
            </w14:solidFill>
          </w14:textFill>
        </w:rPr>
        <w:t>、</w:t>
      </w:r>
      <w:r>
        <w:rPr>
          <w:rFonts w:eastAsia="仿宋_GB2312"/>
          <w:color w:val="000000" w:themeColor="text1"/>
          <w:sz w:val="28"/>
          <w:szCs w:val="28"/>
          <w14:textFill>
            <w14:solidFill>
              <w14:schemeClr w14:val="tx1"/>
            </w14:solidFill>
          </w14:textFill>
        </w:rPr>
        <w:t>EI</w:t>
      </w:r>
      <w:r>
        <w:rPr>
          <w:rFonts w:hint="eastAsia" w:eastAsia="仿宋_GB2312"/>
          <w:color w:val="000000" w:themeColor="text1"/>
          <w:sz w:val="28"/>
          <w:szCs w:val="28"/>
          <w14:textFill>
            <w14:solidFill>
              <w14:schemeClr w14:val="tx1"/>
            </w14:solidFill>
          </w14:textFill>
        </w:rPr>
        <w:t>、</w:t>
      </w:r>
      <w:r>
        <w:rPr>
          <w:rFonts w:eastAsia="仿宋_GB2312"/>
          <w:color w:val="000000" w:themeColor="text1"/>
          <w:sz w:val="28"/>
          <w:szCs w:val="28"/>
          <w14:textFill>
            <w14:solidFill>
              <w14:schemeClr w14:val="tx1"/>
            </w14:solidFill>
          </w14:textFill>
        </w:rPr>
        <w:t>SSCI</w:t>
      </w:r>
      <w:r>
        <w:rPr>
          <w:rFonts w:hint="eastAsia" w:eastAsia="仿宋_GB2312"/>
          <w:color w:val="000000" w:themeColor="text1"/>
          <w:sz w:val="28"/>
          <w:szCs w:val="28"/>
          <w14:textFill>
            <w14:solidFill>
              <w14:schemeClr w14:val="tx1"/>
            </w14:solidFill>
          </w14:textFill>
        </w:rPr>
        <w:t>）期刊收录的论文及</w:t>
      </w:r>
      <w:r>
        <w:rPr>
          <w:rFonts w:eastAsia="仿宋_GB2312"/>
          <w:color w:val="000000" w:themeColor="text1"/>
          <w:sz w:val="28"/>
          <w:szCs w:val="28"/>
          <w14:textFill>
            <w14:solidFill>
              <w14:schemeClr w14:val="tx1"/>
            </w14:solidFill>
          </w14:textFill>
        </w:rPr>
        <w:t>CCF</w:t>
      </w:r>
      <w:r>
        <w:rPr>
          <w:rFonts w:hint="eastAsia" w:eastAsia="仿宋_GB2312"/>
          <w:color w:val="000000" w:themeColor="text1"/>
          <w:sz w:val="28"/>
          <w:szCs w:val="28"/>
          <w14:textFill>
            <w14:solidFill>
              <w14:schemeClr w14:val="tx1"/>
            </w14:solidFill>
          </w14:textFill>
        </w:rPr>
        <w:t>认定的论文，不计导师及团队教师成员，为第一学生作者计</w:t>
      </w:r>
      <w:r>
        <w:rPr>
          <w:rFonts w:eastAsia="仿宋_GB2312"/>
          <w:color w:val="000000" w:themeColor="text1"/>
          <w:sz w:val="28"/>
          <w:szCs w:val="28"/>
          <w14:textFill>
            <w14:solidFill>
              <w14:schemeClr w14:val="tx1"/>
            </w14:solidFill>
          </w14:textFill>
        </w:rPr>
        <w:t>13</w:t>
      </w:r>
      <w:r>
        <w:rPr>
          <w:rFonts w:hint="eastAsia" w:eastAsia="仿宋_GB2312"/>
          <w:color w:val="000000" w:themeColor="text1"/>
          <w:sz w:val="28"/>
          <w:szCs w:val="28"/>
          <w14:textFill>
            <w14:solidFill>
              <w14:schemeClr w14:val="tx1"/>
            </w14:solidFill>
          </w14:textFill>
        </w:rPr>
        <w:t>分，为第二学生作者计</w:t>
      </w:r>
      <w:r>
        <w:rPr>
          <w:rFonts w:eastAsia="仿宋_GB2312"/>
          <w:color w:val="000000" w:themeColor="text1"/>
          <w:sz w:val="28"/>
          <w:szCs w:val="28"/>
          <w14:textFill>
            <w14:solidFill>
              <w14:schemeClr w14:val="tx1"/>
            </w14:solidFill>
          </w14:textFill>
        </w:rPr>
        <w:t>13×50%=6.5</w:t>
      </w:r>
      <w:r>
        <w:rPr>
          <w:rFonts w:hint="eastAsia" w:eastAsia="仿宋_GB2312"/>
          <w:color w:val="000000" w:themeColor="text1"/>
          <w:sz w:val="28"/>
          <w:szCs w:val="28"/>
          <w14:textFill>
            <w14:solidFill>
              <w14:schemeClr w14:val="tx1"/>
            </w14:solidFill>
          </w14:textFill>
        </w:rPr>
        <w:t>分，为第三学生作者计</w:t>
      </w:r>
      <w:r>
        <w:rPr>
          <w:rFonts w:eastAsia="仿宋_GB2312"/>
          <w:color w:val="000000" w:themeColor="text1"/>
          <w:sz w:val="28"/>
          <w:szCs w:val="28"/>
          <w14:textFill>
            <w14:solidFill>
              <w14:schemeClr w14:val="tx1"/>
            </w14:solidFill>
          </w14:textFill>
        </w:rPr>
        <w:t>13×30%=3.9</w:t>
      </w:r>
      <w:r>
        <w:rPr>
          <w:rFonts w:hint="eastAsia" w:eastAsia="仿宋_GB2312"/>
          <w:color w:val="000000" w:themeColor="text1"/>
          <w:sz w:val="28"/>
          <w:szCs w:val="28"/>
          <w14:textFill>
            <w14:solidFill>
              <w14:schemeClr w14:val="tx1"/>
            </w14:solidFill>
          </w14:textFill>
        </w:rPr>
        <w:t>分，为第四学生作者计</w:t>
      </w:r>
      <w:r>
        <w:rPr>
          <w:rFonts w:eastAsia="仿宋_GB2312"/>
          <w:color w:val="000000" w:themeColor="text1"/>
          <w:sz w:val="28"/>
          <w:szCs w:val="28"/>
          <w14:textFill>
            <w14:solidFill>
              <w14:schemeClr w14:val="tx1"/>
            </w14:solidFill>
          </w14:textFill>
        </w:rPr>
        <w:t>13×10%=1.3</w:t>
      </w:r>
      <w:r>
        <w:rPr>
          <w:rFonts w:hint="eastAsia" w:eastAsia="仿宋_GB2312"/>
          <w:color w:val="000000" w:themeColor="text1"/>
          <w:sz w:val="28"/>
          <w:szCs w:val="28"/>
          <w14:textFill>
            <w14:solidFill>
              <w14:schemeClr w14:val="tx1"/>
            </w14:solidFill>
          </w14:textFill>
        </w:rPr>
        <w:t>分，为第四学生作者其后不予以计分。</w:t>
      </w:r>
    </w:p>
    <w:p w14:paraId="56B544C2">
      <w:pPr>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其他论文计算方法</w:t>
      </w:r>
      <w:r>
        <w:rPr>
          <w:rFonts w:hint="eastAsia" w:eastAsia="仿宋_GB2312"/>
          <w:color w:val="000000" w:themeColor="text1"/>
          <w:sz w:val="28"/>
          <w:szCs w:val="28"/>
          <w14:textFill>
            <w14:solidFill>
              <w14:schemeClr w14:val="tx1"/>
            </w14:solidFill>
          </w14:textFill>
        </w:rPr>
        <w:t>。在北大或南大核心期刊上发表的论文，以及被三大检索（</w:t>
      </w:r>
      <w:r>
        <w:rPr>
          <w:rFonts w:eastAsia="仿宋_GB2312"/>
          <w:color w:val="000000" w:themeColor="text1"/>
          <w:sz w:val="28"/>
          <w:szCs w:val="28"/>
          <w14:textFill>
            <w14:solidFill>
              <w14:schemeClr w14:val="tx1"/>
            </w14:solidFill>
          </w14:textFill>
        </w:rPr>
        <w:t>SCI</w:t>
      </w:r>
      <w:r>
        <w:rPr>
          <w:rFonts w:hint="eastAsia" w:eastAsia="仿宋_GB2312"/>
          <w:color w:val="000000" w:themeColor="text1"/>
          <w:sz w:val="28"/>
          <w:szCs w:val="28"/>
          <w14:textFill>
            <w14:solidFill>
              <w14:schemeClr w14:val="tx1"/>
            </w14:solidFill>
          </w14:textFill>
        </w:rPr>
        <w:t>、</w:t>
      </w:r>
      <w:r>
        <w:rPr>
          <w:rFonts w:eastAsia="仿宋_GB2312"/>
          <w:color w:val="000000" w:themeColor="text1"/>
          <w:sz w:val="28"/>
          <w:szCs w:val="28"/>
          <w14:textFill>
            <w14:solidFill>
              <w14:schemeClr w14:val="tx1"/>
            </w14:solidFill>
          </w14:textFill>
        </w:rPr>
        <w:t>EI</w:t>
      </w:r>
      <w:r>
        <w:rPr>
          <w:rFonts w:hint="eastAsia" w:eastAsia="仿宋_GB2312"/>
          <w:color w:val="000000" w:themeColor="text1"/>
          <w:sz w:val="28"/>
          <w:szCs w:val="28"/>
          <w14:textFill>
            <w14:solidFill>
              <w14:schemeClr w14:val="tx1"/>
            </w14:solidFill>
          </w14:textFill>
        </w:rPr>
        <w:t>、</w:t>
      </w:r>
      <w:r>
        <w:rPr>
          <w:rFonts w:eastAsia="仿宋_GB2312"/>
          <w:color w:val="000000" w:themeColor="text1"/>
          <w:sz w:val="28"/>
          <w:szCs w:val="28"/>
          <w14:textFill>
            <w14:solidFill>
              <w14:schemeClr w14:val="tx1"/>
            </w14:solidFill>
          </w14:textFill>
        </w:rPr>
        <w:t>SSCI</w:t>
      </w:r>
      <w:r>
        <w:rPr>
          <w:rFonts w:hint="eastAsia" w:eastAsia="仿宋_GB2312"/>
          <w:color w:val="000000" w:themeColor="text1"/>
          <w:sz w:val="28"/>
          <w:szCs w:val="28"/>
          <w14:textFill>
            <w14:solidFill>
              <w14:schemeClr w14:val="tx1"/>
            </w14:solidFill>
          </w14:textFill>
        </w:rPr>
        <w:t>）收录的会议论文，为第一学生作者加</w:t>
      </w:r>
      <w:r>
        <w:rPr>
          <w:rFonts w:eastAsia="仿宋_GB2312"/>
          <w:color w:val="000000" w:themeColor="text1"/>
          <w:sz w:val="28"/>
          <w:szCs w:val="28"/>
          <w14:textFill>
            <w14:solidFill>
              <w14:schemeClr w14:val="tx1"/>
            </w14:solidFill>
          </w14:textFill>
        </w:rPr>
        <w:t>9</w:t>
      </w:r>
      <w:r>
        <w:rPr>
          <w:rFonts w:hint="eastAsia" w:eastAsia="仿宋_GB2312"/>
          <w:color w:val="000000" w:themeColor="text1"/>
          <w:sz w:val="28"/>
          <w:szCs w:val="28"/>
          <w14:textFill>
            <w14:solidFill>
              <w14:schemeClr w14:val="tx1"/>
            </w14:solidFill>
          </w14:textFill>
        </w:rPr>
        <w:t>分，为第二学生作者加</w:t>
      </w:r>
      <w:r>
        <w:rPr>
          <w:rFonts w:eastAsia="仿宋_GB2312"/>
          <w:color w:val="000000" w:themeColor="text1"/>
          <w:sz w:val="28"/>
          <w:szCs w:val="28"/>
          <w14:textFill>
            <w14:solidFill>
              <w14:schemeClr w14:val="tx1"/>
            </w14:solidFill>
          </w14:textFill>
        </w:rPr>
        <w:t>9×50%=4.5</w:t>
      </w:r>
      <w:r>
        <w:rPr>
          <w:rFonts w:hint="eastAsia" w:eastAsia="仿宋_GB2312"/>
          <w:color w:val="000000" w:themeColor="text1"/>
          <w:sz w:val="28"/>
          <w:szCs w:val="28"/>
          <w14:textFill>
            <w14:solidFill>
              <w14:schemeClr w14:val="tx1"/>
            </w14:solidFill>
          </w14:textFill>
        </w:rPr>
        <w:t>分，为第三学生作者加</w:t>
      </w:r>
      <w:r>
        <w:rPr>
          <w:rFonts w:eastAsia="仿宋_GB2312"/>
          <w:color w:val="000000" w:themeColor="text1"/>
          <w:sz w:val="28"/>
          <w:szCs w:val="28"/>
          <w14:textFill>
            <w14:solidFill>
              <w14:schemeClr w14:val="tx1"/>
            </w14:solidFill>
          </w14:textFill>
        </w:rPr>
        <w:t>9×30%=2.7</w:t>
      </w:r>
      <w:r>
        <w:rPr>
          <w:rFonts w:hint="eastAsia" w:eastAsia="仿宋_GB2312"/>
          <w:color w:val="000000" w:themeColor="text1"/>
          <w:sz w:val="28"/>
          <w:szCs w:val="28"/>
          <w14:textFill>
            <w14:solidFill>
              <w14:schemeClr w14:val="tx1"/>
            </w14:solidFill>
          </w14:textFill>
        </w:rPr>
        <w:t>分，为第四学生作者加</w:t>
      </w:r>
      <w:r>
        <w:rPr>
          <w:rFonts w:eastAsia="仿宋_GB2312"/>
          <w:color w:val="000000" w:themeColor="text1"/>
          <w:sz w:val="28"/>
          <w:szCs w:val="28"/>
          <w14:textFill>
            <w14:solidFill>
              <w14:schemeClr w14:val="tx1"/>
            </w14:solidFill>
          </w14:textFill>
        </w:rPr>
        <w:t>9×10%=0.9</w:t>
      </w:r>
      <w:r>
        <w:rPr>
          <w:rFonts w:hint="eastAsia" w:eastAsia="仿宋_GB2312"/>
          <w:color w:val="000000" w:themeColor="text1"/>
          <w:sz w:val="28"/>
          <w:szCs w:val="28"/>
          <w14:textFill>
            <w14:solidFill>
              <w14:schemeClr w14:val="tx1"/>
            </w14:solidFill>
          </w14:textFill>
        </w:rPr>
        <w:t>分，为第四学生作者其后不予以计分。</w:t>
      </w:r>
    </w:p>
    <w:p w14:paraId="5E750417">
      <w:pPr>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注：国际会议论文满足国际三大检索期刊标准的，其计分标准参考国际三大检索期刊的计分标准执行；国际会议论文不能满足国际三大检索期刊标准的，按照一般会议论文的计分标准执行。论文刊出日期截止到当年8月3</w:t>
      </w:r>
      <w:r>
        <w:rPr>
          <w:rFonts w:eastAsia="仿宋_GB2312"/>
          <w:color w:val="000000" w:themeColor="text1"/>
          <w:sz w:val="28"/>
          <w:szCs w:val="28"/>
          <w14:textFill>
            <w14:solidFill>
              <w14:schemeClr w14:val="tx1"/>
            </w14:solidFill>
          </w14:textFill>
        </w:rPr>
        <w:t>1</w:t>
      </w:r>
      <w:r>
        <w:rPr>
          <w:rFonts w:hint="eastAsia" w:eastAsia="仿宋_GB2312"/>
          <w:color w:val="000000" w:themeColor="text1"/>
          <w:sz w:val="28"/>
          <w:szCs w:val="28"/>
          <w14:textFill>
            <w14:solidFill>
              <w14:schemeClr w14:val="tx1"/>
            </w14:solidFill>
          </w14:textFill>
        </w:rPr>
        <w:t>日，以西北农林科技大学信息工程学院为第一申请单位，需有学院老师指导。）</w:t>
      </w:r>
    </w:p>
    <w:p w14:paraId="09C98D4B">
      <w:pPr>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授权国家发明专利，不计导师及团队教师成员，为第一学生发明人计</w:t>
      </w:r>
      <w:r>
        <w:rPr>
          <w:rFonts w:eastAsia="仿宋_GB2312"/>
          <w:color w:val="000000" w:themeColor="text1"/>
          <w:sz w:val="28"/>
          <w:szCs w:val="28"/>
          <w14:textFill>
            <w14:solidFill>
              <w14:schemeClr w14:val="tx1"/>
            </w14:solidFill>
          </w14:textFill>
        </w:rPr>
        <w:t>13</w:t>
      </w:r>
      <w:r>
        <w:rPr>
          <w:rFonts w:hint="eastAsia" w:eastAsia="仿宋_GB2312"/>
          <w:color w:val="000000" w:themeColor="text1"/>
          <w:sz w:val="28"/>
          <w:szCs w:val="28"/>
          <w14:textFill>
            <w14:solidFill>
              <w14:schemeClr w14:val="tx1"/>
            </w14:solidFill>
          </w14:textFill>
        </w:rPr>
        <w:t>分；为第二学生发明人计</w:t>
      </w:r>
      <w:r>
        <w:rPr>
          <w:rFonts w:eastAsia="仿宋_GB2312"/>
          <w:color w:val="000000" w:themeColor="text1"/>
          <w:sz w:val="28"/>
          <w:szCs w:val="28"/>
          <w14:textFill>
            <w14:solidFill>
              <w14:schemeClr w14:val="tx1"/>
            </w14:solidFill>
          </w14:textFill>
        </w:rPr>
        <w:t>13×80%=10.4</w:t>
      </w:r>
      <w:r>
        <w:rPr>
          <w:rFonts w:hint="eastAsia" w:eastAsia="仿宋_GB2312"/>
          <w:color w:val="000000" w:themeColor="text1"/>
          <w:sz w:val="28"/>
          <w:szCs w:val="28"/>
          <w14:textFill>
            <w14:solidFill>
              <w14:schemeClr w14:val="tx1"/>
            </w14:solidFill>
          </w14:textFill>
        </w:rPr>
        <w:t>分，为第三学生发明人计</w:t>
      </w:r>
      <w:r>
        <w:rPr>
          <w:rFonts w:eastAsia="仿宋_GB2312"/>
          <w:color w:val="000000" w:themeColor="text1"/>
          <w:sz w:val="28"/>
          <w:szCs w:val="28"/>
          <w14:textFill>
            <w14:solidFill>
              <w14:schemeClr w14:val="tx1"/>
            </w14:solidFill>
          </w14:textFill>
        </w:rPr>
        <w:t>13×</w:t>
      </w:r>
      <w:r>
        <w:rPr>
          <w:rFonts w:hint="eastAsia" w:eastAsia="仿宋_GB2312"/>
          <w:color w:val="000000" w:themeColor="text1"/>
          <w:sz w:val="28"/>
          <w:szCs w:val="28"/>
          <w14:textFill>
            <w14:solidFill>
              <w14:schemeClr w14:val="tx1"/>
            </w14:solidFill>
          </w14:textFill>
        </w:rPr>
        <w:t>5</w:t>
      </w:r>
      <w:r>
        <w:rPr>
          <w:rFonts w:eastAsia="仿宋_GB2312"/>
          <w:color w:val="000000" w:themeColor="text1"/>
          <w:sz w:val="28"/>
          <w:szCs w:val="28"/>
          <w14:textFill>
            <w14:solidFill>
              <w14:schemeClr w14:val="tx1"/>
            </w14:solidFill>
          </w14:textFill>
        </w:rPr>
        <w:t>0%=</w:t>
      </w:r>
      <w:r>
        <w:rPr>
          <w:rFonts w:hint="eastAsia" w:eastAsia="仿宋_GB2312"/>
          <w:color w:val="000000" w:themeColor="text1"/>
          <w:sz w:val="28"/>
          <w:szCs w:val="28"/>
          <w14:textFill>
            <w14:solidFill>
              <w14:schemeClr w14:val="tx1"/>
            </w14:solidFill>
          </w14:textFill>
        </w:rPr>
        <w:t>6</w:t>
      </w:r>
      <w:r>
        <w:rPr>
          <w:rFonts w:eastAsia="仿宋_GB2312"/>
          <w:color w:val="000000" w:themeColor="text1"/>
          <w:sz w:val="28"/>
          <w:szCs w:val="28"/>
          <w14:textFill>
            <w14:solidFill>
              <w14:schemeClr w14:val="tx1"/>
            </w14:solidFill>
          </w14:textFill>
        </w:rPr>
        <w:t>.</w:t>
      </w:r>
      <w:r>
        <w:rPr>
          <w:rFonts w:hint="eastAsia" w:eastAsia="仿宋_GB2312"/>
          <w:color w:val="000000" w:themeColor="text1"/>
          <w:sz w:val="28"/>
          <w:szCs w:val="28"/>
          <w14:textFill>
            <w14:solidFill>
              <w14:schemeClr w14:val="tx1"/>
            </w14:solidFill>
          </w14:textFill>
        </w:rPr>
        <w:t>5分，为第四学生发明人及其后不予以计分。</w:t>
      </w:r>
    </w:p>
    <w:p w14:paraId="2EB52EF3">
      <w:pPr>
        <w:widowControl/>
        <w:adjustRightIn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授权实用新型或外观设计专利，满分7分。</w:t>
      </w:r>
      <w:r>
        <w:rPr>
          <w:rFonts w:hint="eastAsia" w:eastAsia="仿宋_GB2312"/>
          <w:b/>
          <w:bCs/>
          <w:color w:val="000000" w:themeColor="text1"/>
          <w:sz w:val="28"/>
          <w:szCs w:val="28"/>
          <w14:textFill>
            <w14:solidFill>
              <w14:schemeClr w14:val="tx1"/>
            </w14:solidFill>
          </w14:textFill>
        </w:rPr>
        <w:t>实用新型、外观专利和软著成果，每个类型只能认定一项。</w:t>
      </w:r>
    </w:p>
    <w:p w14:paraId="1768991C">
      <w:pPr>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授权实用新型或外观设计专利，为第一学生发明人计</w:t>
      </w:r>
      <w:r>
        <w:rPr>
          <w:rFonts w:eastAsia="仿宋_GB2312"/>
          <w:color w:val="000000" w:themeColor="text1"/>
          <w:sz w:val="28"/>
          <w:szCs w:val="28"/>
          <w14:textFill>
            <w14:solidFill>
              <w14:schemeClr w14:val="tx1"/>
            </w14:solidFill>
          </w14:textFill>
        </w:rPr>
        <w:t>7</w:t>
      </w:r>
      <w:r>
        <w:rPr>
          <w:rFonts w:hint="eastAsia" w:eastAsia="仿宋_GB2312"/>
          <w:color w:val="000000" w:themeColor="text1"/>
          <w:sz w:val="28"/>
          <w:szCs w:val="28"/>
          <w14:textFill>
            <w14:solidFill>
              <w14:schemeClr w14:val="tx1"/>
            </w14:solidFill>
          </w14:textFill>
        </w:rPr>
        <w:t>分，为第二学生发明人计</w:t>
      </w:r>
      <w:r>
        <w:rPr>
          <w:rFonts w:eastAsia="仿宋_GB2312"/>
          <w:color w:val="000000" w:themeColor="text1"/>
          <w:sz w:val="28"/>
          <w:szCs w:val="28"/>
          <w14:textFill>
            <w14:solidFill>
              <w14:schemeClr w14:val="tx1"/>
            </w14:solidFill>
          </w14:textFill>
        </w:rPr>
        <w:t>7×50%=3.5</w:t>
      </w:r>
      <w:r>
        <w:rPr>
          <w:rFonts w:hint="eastAsia" w:eastAsia="仿宋_GB2312"/>
          <w:color w:val="000000" w:themeColor="text1"/>
          <w:sz w:val="28"/>
          <w:szCs w:val="28"/>
          <w14:textFill>
            <w14:solidFill>
              <w14:schemeClr w14:val="tx1"/>
            </w14:solidFill>
          </w14:textFill>
        </w:rPr>
        <w:t>分，为第三学生发明人计</w:t>
      </w:r>
      <w:r>
        <w:rPr>
          <w:rFonts w:eastAsia="仿宋_GB2312"/>
          <w:color w:val="000000" w:themeColor="text1"/>
          <w:sz w:val="28"/>
          <w:szCs w:val="28"/>
          <w14:textFill>
            <w14:solidFill>
              <w14:schemeClr w14:val="tx1"/>
            </w14:solidFill>
          </w14:textFill>
        </w:rPr>
        <w:t>7×30%=</w:t>
      </w:r>
      <w:r>
        <w:rPr>
          <w:rFonts w:hint="eastAsia" w:eastAsia="仿宋_GB2312"/>
          <w:color w:val="000000" w:themeColor="text1"/>
          <w:sz w:val="28"/>
          <w:szCs w:val="28"/>
          <w14:textFill>
            <w14:solidFill>
              <w14:schemeClr w14:val="tx1"/>
            </w14:solidFill>
          </w14:textFill>
        </w:rPr>
        <w:t>2</w:t>
      </w:r>
      <w:r>
        <w:rPr>
          <w:rFonts w:eastAsia="仿宋_GB2312"/>
          <w:color w:val="000000" w:themeColor="text1"/>
          <w:sz w:val="28"/>
          <w:szCs w:val="28"/>
          <w14:textFill>
            <w14:solidFill>
              <w14:schemeClr w14:val="tx1"/>
            </w14:solidFill>
          </w14:textFill>
        </w:rPr>
        <w:t>.1</w:t>
      </w:r>
      <w:r>
        <w:rPr>
          <w:rFonts w:hint="eastAsia" w:eastAsia="仿宋_GB2312"/>
          <w:color w:val="000000" w:themeColor="text1"/>
          <w:sz w:val="28"/>
          <w:szCs w:val="28"/>
          <w14:textFill>
            <w14:solidFill>
              <w14:schemeClr w14:val="tx1"/>
            </w14:solidFill>
          </w14:textFill>
        </w:rPr>
        <w:t>分，为第三学生发明人其后不予以计分。</w:t>
      </w:r>
    </w:p>
    <w:p w14:paraId="09BD7E06">
      <w:pPr>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登记软件著作权，满分</w:t>
      </w:r>
      <w:r>
        <w:rPr>
          <w:rFonts w:eastAsia="仿宋_GB2312"/>
          <w:color w:val="000000" w:themeColor="text1"/>
          <w:sz w:val="28"/>
          <w:szCs w:val="28"/>
          <w14:textFill>
            <w14:solidFill>
              <w14:schemeClr w14:val="tx1"/>
            </w14:solidFill>
          </w14:textFill>
        </w:rPr>
        <w:t>4</w:t>
      </w:r>
      <w:r>
        <w:rPr>
          <w:rFonts w:hint="eastAsia" w:eastAsia="仿宋_GB2312"/>
          <w:color w:val="000000" w:themeColor="text1"/>
          <w:sz w:val="28"/>
          <w:szCs w:val="28"/>
          <w14:textFill>
            <w14:solidFill>
              <w14:schemeClr w14:val="tx1"/>
            </w14:solidFill>
          </w14:textFill>
        </w:rPr>
        <w:t>分。为第一学生作者计</w:t>
      </w:r>
      <w:r>
        <w:rPr>
          <w:rFonts w:eastAsia="仿宋_GB2312"/>
          <w:color w:val="000000" w:themeColor="text1"/>
          <w:sz w:val="28"/>
          <w:szCs w:val="28"/>
          <w14:textFill>
            <w14:solidFill>
              <w14:schemeClr w14:val="tx1"/>
            </w14:solidFill>
          </w14:textFill>
        </w:rPr>
        <w:t>4</w:t>
      </w:r>
      <w:r>
        <w:rPr>
          <w:rFonts w:hint="eastAsia" w:eastAsia="仿宋_GB2312"/>
          <w:color w:val="000000" w:themeColor="text1"/>
          <w:sz w:val="28"/>
          <w:szCs w:val="28"/>
          <w14:textFill>
            <w14:solidFill>
              <w14:schemeClr w14:val="tx1"/>
            </w14:solidFill>
          </w14:textFill>
        </w:rPr>
        <w:t>分，为第二学生作者加</w:t>
      </w:r>
      <w:r>
        <w:rPr>
          <w:rFonts w:eastAsia="仿宋_GB2312"/>
          <w:color w:val="000000" w:themeColor="text1"/>
          <w:sz w:val="28"/>
          <w:szCs w:val="28"/>
          <w14:textFill>
            <w14:solidFill>
              <w14:schemeClr w14:val="tx1"/>
            </w14:solidFill>
          </w14:textFill>
        </w:rPr>
        <w:t>4×50%=2</w:t>
      </w:r>
      <w:r>
        <w:rPr>
          <w:rFonts w:hint="eastAsia" w:eastAsia="仿宋_GB2312"/>
          <w:color w:val="000000" w:themeColor="text1"/>
          <w:sz w:val="28"/>
          <w:szCs w:val="28"/>
          <w14:textFill>
            <w14:solidFill>
              <w14:schemeClr w14:val="tx1"/>
            </w14:solidFill>
          </w14:textFill>
        </w:rPr>
        <w:t>分，为第三学生作者加</w:t>
      </w:r>
      <w:r>
        <w:rPr>
          <w:rFonts w:eastAsia="仿宋_GB2312"/>
          <w:color w:val="000000" w:themeColor="text1"/>
          <w:sz w:val="28"/>
          <w:szCs w:val="28"/>
          <w14:textFill>
            <w14:solidFill>
              <w14:schemeClr w14:val="tx1"/>
            </w14:solidFill>
          </w14:textFill>
        </w:rPr>
        <w:t>4×10%=0.4</w:t>
      </w:r>
      <w:r>
        <w:rPr>
          <w:rFonts w:hint="eastAsia" w:eastAsia="仿宋_GB2312"/>
          <w:color w:val="000000" w:themeColor="text1"/>
          <w:sz w:val="28"/>
          <w:szCs w:val="28"/>
          <w14:textFill>
            <w14:solidFill>
              <w14:schemeClr w14:val="tx1"/>
            </w14:solidFill>
          </w14:textFill>
        </w:rPr>
        <w:t>分，为第三学生作者其后不予以计分。</w:t>
      </w:r>
    </w:p>
    <w:p w14:paraId="5E25FD1F">
      <w:pPr>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只认定与本专业相关（包括交叉学科和跨学科）的学术论文、专利与软著，与专业无关的不予计分。发表数篇学术论文或授权数项发明专利的申请者，累计计分不超过</w:t>
      </w:r>
      <w:r>
        <w:rPr>
          <w:rFonts w:eastAsia="仿宋_GB2312"/>
          <w:color w:val="000000" w:themeColor="text1"/>
          <w:sz w:val="28"/>
          <w:szCs w:val="28"/>
          <w14:textFill>
            <w14:solidFill>
              <w14:schemeClr w14:val="tx1"/>
            </w14:solidFill>
          </w14:textFill>
        </w:rPr>
        <w:t>13</w:t>
      </w:r>
      <w:r>
        <w:rPr>
          <w:rFonts w:hint="eastAsia" w:eastAsia="仿宋_GB2312"/>
          <w:color w:val="000000" w:themeColor="text1"/>
          <w:sz w:val="28"/>
          <w:szCs w:val="28"/>
          <w14:textFill>
            <w14:solidFill>
              <w14:schemeClr w14:val="tx1"/>
            </w14:solidFill>
          </w14:textFill>
        </w:rPr>
        <w:t>分。学术论文、专利与软件著作权，均要求西北农林科技大学为第一申请单位，需有学院老师指导。</w:t>
      </w:r>
      <w:r>
        <w:rPr>
          <w:rFonts w:hint="eastAsia" w:eastAsia="仿宋_GB2312"/>
          <w:b/>
          <w:color w:val="000000" w:themeColor="text1"/>
          <w:sz w:val="28"/>
          <w:szCs w:val="28"/>
          <w14:textFill>
            <w14:solidFill>
              <w14:schemeClr w14:val="tx1"/>
            </w14:solidFill>
          </w14:textFill>
        </w:rPr>
        <w:t>以上成果需提供相应的证明材料</w:t>
      </w:r>
      <w:r>
        <w:rPr>
          <w:rFonts w:hint="eastAsia" w:eastAsia="仿宋_GB2312"/>
          <w:color w:val="000000" w:themeColor="text1"/>
          <w:sz w:val="28"/>
          <w:szCs w:val="28"/>
          <w14:textFill>
            <w14:solidFill>
              <w14:schemeClr w14:val="tx1"/>
            </w14:solidFill>
          </w14:textFill>
        </w:rPr>
        <w:t>，论文需要提供全文及检索证明，专利需提供授权证书的原件及复印件，交学院审查通过方可。未能按期提交上述材料的，不计分。</w:t>
      </w:r>
    </w:p>
    <w:p w14:paraId="61FD0512">
      <w:pPr>
        <w:spacing w:line="360" w:lineRule="auto"/>
        <w:ind w:firstLine="560" w:firstLineChars="200"/>
        <w:rPr>
          <w:rFonts w:eastAsia="仿宋_GB2312"/>
          <w:b/>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③</w:t>
      </w:r>
      <w:r>
        <w:rPr>
          <w:rFonts w:hint="eastAsia" w:eastAsia="仿宋_GB2312"/>
          <w:b/>
          <w:bCs/>
          <w:color w:val="000000" w:themeColor="text1"/>
          <w:sz w:val="28"/>
          <w:szCs w:val="28"/>
          <w14:textFill>
            <w14:solidFill>
              <w14:schemeClr w14:val="tx1"/>
            </w14:solidFill>
          </w14:textFill>
        </w:rPr>
        <w:t>大学生科创项目结题（满分</w:t>
      </w:r>
      <w:r>
        <w:rPr>
          <w:rFonts w:eastAsia="仿宋_GB2312"/>
          <w:b/>
          <w:bCs/>
          <w:color w:val="000000" w:themeColor="text1"/>
          <w:sz w:val="28"/>
          <w:szCs w:val="28"/>
          <w14:textFill>
            <w14:solidFill>
              <w14:schemeClr w14:val="tx1"/>
            </w14:solidFill>
          </w14:textFill>
        </w:rPr>
        <w:t>9</w:t>
      </w:r>
      <w:r>
        <w:rPr>
          <w:rFonts w:hint="eastAsia" w:eastAsia="仿宋_GB2312"/>
          <w:b/>
          <w:bCs/>
          <w:color w:val="000000" w:themeColor="text1"/>
          <w:sz w:val="28"/>
          <w:szCs w:val="28"/>
          <w14:textFill>
            <w14:solidFill>
              <w14:schemeClr w14:val="tx1"/>
            </w14:solidFill>
          </w14:textFill>
        </w:rPr>
        <w:t>分）</w:t>
      </w:r>
    </w:p>
    <w:p w14:paraId="5B33540D">
      <w:pPr>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大学生科创项目结题只限于由学院教师指导的项目，从已获批项目等级（国家级、省级、校级），及申请者的主要贡献进行评价，具体计分办法如下（大学生科创项目结题“主要贡献者”仅限</w:t>
      </w:r>
      <w:r>
        <w:rPr>
          <w:rFonts w:eastAsia="仿宋_GB2312"/>
          <w:color w:val="000000" w:themeColor="text1"/>
          <w:sz w:val="28"/>
          <w:szCs w:val="28"/>
          <w14:textFill>
            <w14:solidFill>
              <w14:schemeClr w14:val="tx1"/>
            </w14:solidFill>
          </w14:textFill>
        </w:rPr>
        <w:t>1</w:t>
      </w:r>
      <w:r>
        <w:rPr>
          <w:rFonts w:hint="eastAsia" w:eastAsia="仿宋_GB2312"/>
          <w:color w:val="000000" w:themeColor="text1"/>
          <w:sz w:val="28"/>
          <w:szCs w:val="28"/>
          <w14:textFill>
            <w14:solidFill>
              <w14:schemeClr w14:val="tx1"/>
            </w14:solidFill>
          </w14:textFill>
        </w:rPr>
        <w:t>人，其余队员为“其他成员”，均由指导教师负责认定贡献并签字），如表3所示。</w:t>
      </w:r>
    </w:p>
    <w:p w14:paraId="7510C23D">
      <w:pPr>
        <w:spacing w:line="360" w:lineRule="auto"/>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表3 大学生科创项目结题及贡献</w:t>
      </w:r>
    </w:p>
    <w:tbl>
      <w:tblPr>
        <w:tblStyle w:val="7"/>
        <w:tblW w:w="8519" w:type="dxa"/>
        <w:jc w:val="center"/>
        <w:tblLayout w:type="fixed"/>
        <w:tblCellMar>
          <w:top w:w="0" w:type="dxa"/>
          <w:left w:w="108" w:type="dxa"/>
          <w:bottom w:w="0" w:type="dxa"/>
          <w:right w:w="108" w:type="dxa"/>
        </w:tblCellMar>
      </w:tblPr>
      <w:tblGrid>
        <w:gridCol w:w="1299"/>
        <w:gridCol w:w="1327"/>
        <w:gridCol w:w="1109"/>
        <w:gridCol w:w="1308"/>
        <w:gridCol w:w="1107"/>
        <w:gridCol w:w="1276"/>
        <w:gridCol w:w="1093"/>
      </w:tblGrid>
      <w:tr w14:paraId="1C388449">
        <w:tblPrEx>
          <w:tblCellMar>
            <w:top w:w="0" w:type="dxa"/>
            <w:left w:w="108" w:type="dxa"/>
            <w:bottom w:w="0" w:type="dxa"/>
            <w:right w:w="108" w:type="dxa"/>
          </w:tblCellMar>
        </w:tblPrEx>
        <w:trPr>
          <w:trHeight w:val="281" w:hRule="atLeast"/>
          <w:jc w:val="center"/>
        </w:trPr>
        <w:tc>
          <w:tcPr>
            <w:tcW w:w="1299" w:type="dxa"/>
            <w:vMerge w:val="restart"/>
            <w:tcBorders>
              <w:top w:val="single" w:color="auto" w:sz="4" w:space="0"/>
              <w:left w:val="single" w:color="auto" w:sz="4" w:space="0"/>
              <w:bottom w:val="single" w:color="auto" w:sz="4" w:space="0"/>
              <w:right w:val="single" w:color="auto" w:sz="4" w:space="0"/>
            </w:tcBorders>
            <w:vAlign w:val="center"/>
          </w:tcPr>
          <w:p w14:paraId="03789047">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项目级别</w:t>
            </w:r>
          </w:p>
        </w:tc>
        <w:tc>
          <w:tcPr>
            <w:tcW w:w="2436" w:type="dxa"/>
            <w:gridSpan w:val="2"/>
            <w:tcBorders>
              <w:top w:val="single" w:color="auto" w:sz="4" w:space="0"/>
              <w:left w:val="nil"/>
              <w:bottom w:val="single" w:color="auto" w:sz="4" w:space="0"/>
              <w:right w:val="single" w:color="auto" w:sz="4" w:space="0"/>
            </w:tcBorders>
            <w:vAlign w:val="center"/>
          </w:tcPr>
          <w:p w14:paraId="1BA8D331">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优秀</w:t>
            </w:r>
          </w:p>
        </w:tc>
        <w:tc>
          <w:tcPr>
            <w:tcW w:w="2415" w:type="dxa"/>
            <w:gridSpan w:val="2"/>
            <w:tcBorders>
              <w:top w:val="single" w:color="auto" w:sz="4" w:space="0"/>
              <w:left w:val="nil"/>
              <w:bottom w:val="single" w:color="auto" w:sz="4" w:space="0"/>
              <w:right w:val="single" w:color="auto" w:sz="4" w:space="0"/>
            </w:tcBorders>
            <w:vAlign w:val="center"/>
          </w:tcPr>
          <w:p w14:paraId="26DB388A">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良好</w:t>
            </w:r>
          </w:p>
        </w:tc>
        <w:tc>
          <w:tcPr>
            <w:tcW w:w="2369" w:type="dxa"/>
            <w:gridSpan w:val="2"/>
            <w:tcBorders>
              <w:top w:val="single" w:color="auto" w:sz="4" w:space="0"/>
              <w:left w:val="nil"/>
              <w:bottom w:val="single" w:color="auto" w:sz="4" w:space="0"/>
              <w:right w:val="single" w:color="auto" w:sz="4" w:space="0"/>
            </w:tcBorders>
            <w:vAlign w:val="center"/>
          </w:tcPr>
          <w:p w14:paraId="7B3DA7B3">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合格</w:t>
            </w:r>
          </w:p>
        </w:tc>
      </w:tr>
      <w:tr w14:paraId="4A54B8A1">
        <w:tblPrEx>
          <w:tblCellMar>
            <w:top w:w="0" w:type="dxa"/>
            <w:left w:w="108" w:type="dxa"/>
            <w:bottom w:w="0" w:type="dxa"/>
            <w:right w:w="108" w:type="dxa"/>
          </w:tblCellMar>
        </w:tblPrEx>
        <w:trPr>
          <w:trHeight w:val="281" w:hRule="atLeast"/>
          <w:jc w:val="center"/>
        </w:trPr>
        <w:tc>
          <w:tcPr>
            <w:tcW w:w="1299" w:type="dxa"/>
            <w:vMerge w:val="continue"/>
            <w:tcBorders>
              <w:top w:val="single" w:color="auto" w:sz="4" w:space="0"/>
              <w:left w:val="single" w:color="auto" w:sz="4" w:space="0"/>
              <w:bottom w:val="single" w:color="auto" w:sz="4" w:space="0"/>
              <w:right w:val="single" w:color="auto" w:sz="4" w:space="0"/>
            </w:tcBorders>
            <w:vAlign w:val="center"/>
          </w:tcPr>
          <w:p w14:paraId="41865A8A">
            <w:pPr>
              <w:widowControl/>
              <w:jc w:val="left"/>
              <w:rPr>
                <w:rFonts w:eastAsia="仿宋_GB2312"/>
                <w:b/>
                <w:color w:val="000000" w:themeColor="text1"/>
                <w:kern w:val="0"/>
                <w:szCs w:val="21"/>
                <w14:textFill>
                  <w14:solidFill>
                    <w14:schemeClr w14:val="tx1"/>
                  </w14:solidFill>
                </w14:textFill>
              </w:rPr>
            </w:pPr>
          </w:p>
        </w:tc>
        <w:tc>
          <w:tcPr>
            <w:tcW w:w="1327" w:type="dxa"/>
            <w:tcBorders>
              <w:top w:val="nil"/>
              <w:left w:val="nil"/>
              <w:bottom w:val="single" w:color="auto" w:sz="4" w:space="0"/>
              <w:right w:val="single" w:color="auto" w:sz="4" w:space="0"/>
            </w:tcBorders>
            <w:vAlign w:val="center"/>
          </w:tcPr>
          <w:p w14:paraId="7CE28A4A">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主要贡献者</w:t>
            </w:r>
          </w:p>
        </w:tc>
        <w:tc>
          <w:tcPr>
            <w:tcW w:w="1109" w:type="dxa"/>
            <w:tcBorders>
              <w:top w:val="nil"/>
              <w:left w:val="nil"/>
              <w:bottom w:val="single" w:color="auto" w:sz="4" w:space="0"/>
              <w:right w:val="single" w:color="auto" w:sz="4" w:space="0"/>
            </w:tcBorders>
            <w:vAlign w:val="center"/>
          </w:tcPr>
          <w:p w14:paraId="4CAEF2EE">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其他成员</w:t>
            </w:r>
          </w:p>
        </w:tc>
        <w:tc>
          <w:tcPr>
            <w:tcW w:w="1308" w:type="dxa"/>
            <w:tcBorders>
              <w:top w:val="nil"/>
              <w:left w:val="nil"/>
              <w:bottom w:val="single" w:color="auto" w:sz="4" w:space="0"/>
              <w:right w:val="single" w:color="auto" w:sz="4" w:space="0"/>
            </w:tcBorders>
            <w:vAlign w:val="center"/>
          </w:tcPr>
          <w:p w14:paraId="059DCB32">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主要贡献者</w:t>
            </w:r>
          </w:p>
        </w:tc>
        <w:tc>
          <w:tcPr>
            <w:tcW w:w="1107" w:type="dxa"/>
            <w:tcBorders>
              <w:top w:val="nil"/>
              <w:left w:val="nil"/>
              <w:bottom w:val="single" w:color="auto" w:sz="4" w:space="0"/>
              <w:right w:val="single" w:color="auto" w:sz="4" w:space="0"/>
            </w:tcBorders>
            <w:vAlign w:val="center"/>
          </w:tcPr>
          <w:p w14:paraId="76A70D71">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其他成员</w:t>
            </w:r>
          </w:p>
        </w:tc>
        <w:tc>
          <w:tcPr>
            <w:tcW w:w="1276" w:type="dxa"/>
            <w:tcBorders>
              <w:top w:val="nil"/>
              <w:left w:val="nil"/>
              <w:bottom w:val="single" w:color="auto" w:sz="4" w:space="0"/>
              <w:right w:val="single" w:color="auto" w:sz="4" w:space="0"/>
            </w:tcBorders>
            <w:vAlign w:val="center"/>
          </w:tcPr>
          <w:p w14:paraId="7F7D0C84">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主要贡献者</w:t>
            </w:r>
          </w:p>
        </w:tc>
        <w:tc>
          <w:tcPr>
            <w:tcW w:w="1093" w:type="dxa"/>
            <w:tcBorders>
              <w:top w:val="nil"/>
              <w:left w:val="nil"/>
              <w:bottom w:val="single" w:color="auto" w:sz="4" w:space="0"/>
              <w:right w:val="single" w:color="auto" w:sz="4" w:space="0"/>
            </w:tcBorders>
            <w:vAlign w:val="center"/>
          </w:tcPr>
          <w:p w14:paraId="6C6CCB1B">
            <w:pPr>
              <w:widowControl/>
              <w:spacing w:before="62" w:beforeLines="20" w:after="62" w:afterLines="20"/>
              <w:jc w:val="center"/>
              <w:rPr>
                <w:rFonts w:eastAsia="仿宋_GB2312"/>
                <w:b/>
                <w:color w:val="000000" w:themeColor="text1"/>
                <w:kern w:val="0"/>
                <w:szCs w:val="21"/>
                <w14:textFill>
                  <w14:solidFill>
                    <w14:schemeClr w14:val="tx1"/>
                  </w14:solidFill>
                </w14:textFill>
              </w:rPr>
            </w:pPr>
            <w:r>
              <w:rPr>
                <w:rFonts w:hint="eastAsia" w:eastAsia="仿宋_GB2312"/>
                <w:b/>
                <w:color w:val="000000" w:themeColor="text1"/>
                <w:kern w:val="0"/>
                <w:szCs w:val="21"/>
                <w14:textFill>
                  <w14:solidFill>
                    <w14:schemeClr w14:val="tx1"/>
                  </w14:solidFill>
                </w14:textFill>
              </w:rPr>
              <w:t>其他成员</w:t>
            </w:r>
          </w:p>
        </w:tc>
      </w:tr>
      <w:tr w14:paraId="381B1ABE">
        <w:tblPrEx>
          <w:tblCellMar>
            <w:top w:w="0" w:type="dxa"/>
            <w:left w:w="108" w:type="dxa"/>
            <w:bottom w:w="0" w:type="dxa"/>
            <w:right w:w="108" w:type="dxa"/>
          </w:tblCellMar>
        </w:tblPrEx>
        <w:trPr>
          <w:trHeight w:val="578" w:hRule="atLeast"/>
          <w:jc w:val="center"/>
        </w:trPr>
        <w:tc>
          <w:tcPr>
            <w:tcW w:w="1299" w:type="dxa"/>
            <w:tcBorders>
              <w:top w:val="nil"/>
              <w:left w:val="single" w:color="auto" w:sz="4" w:space="0"/>
              <w:bottom w:val="single" w:color="auto" w:sz="4" w:space="0"/>
              <w:right w:val="single" w:color="auto" w:sz="4" w:space="0"/>
            </w:tcBorders>
            <w:vAlign w:val="center"/>
          </w:tcPr>
          <w:p w14:paraId="61F7DAE5">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国家级</w:t>
            </w:r>
          </w:p>
        </w:tc>
        <w:tc>
          <w:tcPr>
            <w:tcW w:w="1327" w:type="dxa"/>
            <w:tcBorders>
              <w:top w:val="nil"/>
              <w:left w:val="nil"/>
              <w:bottom w:val="single" w:color="auto" w:sz="4" w:space="0"/>
              <w:right w:val="single" w:color="auto" w:sz="4" w:space="0"/>
            </w:tcBorders>
            <w:vAlign w:val="center"/>
          </w:tcPr>
          <w:p w14:paraId="057BCF92">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9</w:t>
            </w:r>
          </w:p>
        </w:tc>
        <w:tc>
          <w:tcPr>
            <w:tcW w:w="1109" w:type="dxa"/>
            <w:tcBorders>
              <w:top w:val="nil"/>
              <w:left w:val="nil"/>
              <w:bottom w:val="single" w:color="auto" w:sz="4" w:space="0"/>
              <w:right w:val="single" w:color="auto" w:sz="4" w:space="0"/>
            </w:tcBorders>
            <w:vAlign w:val="center"/>
          </w:tcPr>
          <w:p w14:paraId="6CCCC325">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4.5</w:t>
            </w:r>
          </w:p>
        </w:tc>
        <w:tc>
          <w:tcPr>
            <w:tcW w:w="1308" w:type="dxa"/>
            <w:tcBorders>
              <w:top w:val="nil"/>
              <w:left w:val="nil"/>
              <w:bottom w:val="single" w:color="auto" w:sz="4" w:space="0"/>
              <w:right w:val="single" w:color="auto" w:sz="4" w:space="0"/>
            </w:tcBorders>
            <w:vAlign w:val="center"/>
          </w:tcPr>
          <w:p w14:paraId="069853B1">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6.75</w:t>
            </w:r>
          </w:p>
        </w:tc>
        <w:tc>
          <w:tcPr>
            <w:tcW w:w="1107" w:type="dxa"/>
            <w:tcBorders>
              <w:top w:val="nil"/>
              <w:left w:val="nil"/>
              <w:bottom w:val="single" w:color="auto" w:sz="4" w:space="0"/>
              <w:right w:val="single" w:color="auto" w:sz="4" w:space="0"/>
            </w:tcBorders>
            <w:vAlign w:val="center"/>
          </w:tcPr>
          <w:p w14:paraId="7BAFAF15">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3.15</w:t>
            </w:r>
          </w:p>
        </w:tc>
        <w:tc>
          <w:tcPr>
            <w:tcW w:w="1276" w:type="dxa"/>
            <w:tcBorders>
              <w:top w:val="nil"/>
              <w:left w:val="nil"/>
              <w:bottom w:val="single" w:color="auto" w:sz="4" w:space="0"/>
              <w:right w:val="single" w:color="auto" w:sz="4" w:space="0"/>
            </w:tcBorders>
            <w:vAlign w:val="center"/>
          </w:tcPr>
          <w:p w14:paraId="3A8E300B">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4.5</w:t>
            </w:r>
          </w:p>
        </w:tc>
        <w:tc>
          <w:tcPr>
            <w:tcW w:w="1093" w:type="dxa"/>
            <w:tcBorders>
              <w:top w:val="nil"/>
              <w:left w:val="nil"/>
              <w:bottom w:val="single" w:color="auto" w:sz="4" w:space="0"/>
              <w:right w:val="single" w:color="auto" w:sz="4" w:space="0"/>
            </w:tcBorders>
            <w:vAlign w:val="center"/>
          </w:tcPr>
          <w:p w14:paraId="41899799">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2.25</w:t>
            </w:r>
          </w:p>
        </w:tc>
      </w:tr>
      <w:tr w14:paraId="442432F2">
        <w:tblPrEx>
          <w:tblCellMar>
            <w:top w:w="0" w:type="dxa"/>
            <w:left w:w="108" w:type="dxa"/>
            <w:bottom w:w="0" w:type="dxa"/>
            <w:right w:w="108" w:type="dxa"/>
          </w:tblCellMar>
        </w:tblPrEx>
        <w:trPr>
          <w:trHeight w:val="281" w:hRule="atLeast"/>
          <w:jc w:val="center"/>
        </w:trPr>
        <w:tc>
          <w:tcPr>
            <w:tcW w:w="1299" w:type="dxa"/>
            <w:tcBorders>
              <w:top w:val="nil"/>
              <w:left w:val="single" w:color="auto" w:sz="4" w:space="0"/>
              <w:bottom w:val="single" w:color="auto" w:sz="4" w:space="0"/>
              <w:right w:val="single" w:color="auto" w:sz="4" w:space="0"/>
            </w:tcBorders>
            <w:vAlign w:val="center"/>
          </w:tcPr>
          <w:p w14:paraId="7E9228EA">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省级</w:t>
            </w:r>
          </w:p>
        </w:tc>
        <w:tc>
          <w:tcPr>
            <w:tcW w:w="1327" w:type="dxa"/>
            <w:tcBorders>
              <w:top w:val="nil"/>
              <w:left w:val="nil"/>
              <w:bottom w:val="single" w:color="auto" w:sz="4" w:space="0"/>
              <w:right w:val="single" w:color="auto" w:sz="4" w:space="0"/>
            </w:tcBorders>
            <w:vAlign w:val="center"/>
          </w:tcPr>
          <w:p w14:paraId="585CF604">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7.65</w:t>
            </w:r>
          </w:p>
        </w:tc>
        <w:tc>
          <w:tcPr>
            <w:tcW w:w="1109" w:type="dxa"/>
            <w:tcBorders>
              <w:top w:val="nil"/>
              <w:left w:val="nil"/>
              <w:bottom w:val="single" w:color="auto" w:sz="4" w:space="0"/>
              <w:right w:val="single" w:color="auto" w:sz="4" w:space="0"/>
            </w:tcBorders>
            <w:vAlign w:val="center"/>
          </w:tcPr>
          <w:p w14:paraId="4A6BA444">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3.6</w:t>
            </w:r>
          </w:p>
        </w:tc>
        <w:tc>
          <w:tcPr>
            <w:tcW w:w="1308" w:type="dxa"/>
            <w:tcBorders>
              <w:top w:val="nil"/>
              <w:left w:val="nil"/>
              <w:bottom w:val="single" w:color="auto" w:sz="4" w:space="0"/>
              <w:right w:val="single" w:color="auto" w:sz="4" w:space="0"/>
            </w:tcBorders>
            <w:vAlign w:val="center"/>
          </w:tcPr>
          <w:p w14:paraId="286BCEB1">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5.4</w:t>
            </w:r>
          </w:p>
        </w:tc>
        <w:tc>
          <w:tcPr>
            <w:tcW w:w="1107" w:type="dxa"/>
            <w:tcBorders>
              <w:top w:val="nil"/>
              <w:left w:val="nil"/>
              <w:bottom w:val="single" w:color="auto" w:sz="4" w:space="0"/>
              <w:right w:val="single" w:color="auto" w:sz="4" w:space="0"/>
            </w:tcBorders>
            <w:vAlign w:val="center"/>
          </w:tcPr>
          <w:p w14:paraId="680AD19B">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2.7</w:t>
            </w:r>
          </w:p>
        </w:tc>
        <w:tc>
          <w:tcPr>
            <w:tcW w:w="1276" w:type="dxa"/>
            <w:tcBorders>
              <w:top w:val="nil"/>
              <w:left w:val="nil"/>
              <w:bottom w:val="single" w:color="auto" w:sz="4" w:space="0"/>
              <w:right w:val="single" w:color="auto" w:sz="4" w:space="0"/>
            </w:tcBorders>
            <w:vAlign w:val="center"/>
          </w:tcPr>
          <w:p w14:paraId="791F1853">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3.15</w:t>
            </w:r>
          </w:p>
        </w:tc>
        <w:tc>
          <w:tcPr>
            <w:tcW w:w="1093" w:type="dxa"/>
            <w:tcBorders>
              <w:top w:val="nil"/>
              <w:left w:val="nil"/>
              <w:bottom w:val="single" w:color="auto" w:sz="4" w:space="0"/>
              <w:right w:val="single" w:color="auto" w:sz="4" w:space="0"/>
            </w:tcBorders>
            <w:vAlign w:val="center"/>
          </w:tcPr>
          <w:p w14:paraId="3A29FF36">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1.35</w:t>
            </w:r>
          </w:p>
        </w:tc>
      </w:tr>
      <w:tr w14:paraId="4F989FF3">
        <w:tblPrEx>
          <w:tblCellMar>
            <w:top w:w="0" w:type="dxa"/>
            <w:left w:w="108" w:type="dxa"/>
            <w:bottom w:w="0" w:type="dxa"/>
            <w:right w:w="108" w:type="dxa"/>
          </w:tblCellMar>
        </w:tblPrEx>
        <w:trPr>
          <w:trHeight w:val="545" w:hRule="atLeast"/>
          <w:jc w:val="center"/>
        </w:trPr>
        <w:tc>
          <w:tcPr>
            <w:tcW w:w="1299" w:type="dxa"/>
            <w:tcBorders>
              <w:top w:val="single" w:color="auto" w:sz="4" w:space="0"/>
              <w:left w:val="single" w:color="auto" w:sz="4" w:space="0"/>
              <w:bottom w:val="single" w:color="auto" w:sz="4" w:space="0"/>
              <w:right w:val="single" w:color="auto" w:sz="4" w:space="0"/>
            </w:tcBorders>
            <w:vAlign w:val="center"/>
          </w:tcPr>
          <w:p w14:paraId="1BD08DF7">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校级</w:t>
            </w:r>
          </w:p>
        </w:tc>
        <w:tc>
          <w:tcPr>
            <w:tcW w:w="1327" w:type="dxa"/>
            <w:tcBorders>
              <w:top w:val="single" w:color="auto" w:sz="4" w:space="0"/>
              <w:left w:val="nil"/>
              <w:bottom w:val="single" w:color="auto" w:sz="4" w:space="0"/>
              <w:right w:val="single" w:color="auto" w:sz="4" w:space="0"/>
            </w:tcBorders>
            <w:vAlign w:val="center"/>
          </w:tcPr>
          <w:p w14:paraId="1CFE04CB">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6.75</w:t>
            </w:r>
          </w:p>
        </w:tc>
        <w:tc>
          <w:tcPr>
            <w:tcW w:w="1109" w:type="dxa"/>
            <w:tcBorders>
              <w:top w:val="single" w:color="auto" w:sz="4" w:space="0"/>
              <w:left w:val="nil"/>
              <w:bottom w:val="single" w:color="auto" w:sz="4" w:space="0"/>
              <w:right w:val="single" w:color="auto" w:sz="4" w:space="0"/>
            </w:tcBorders>
            <w:vAlign w:val="center"/>
          </w:tcPr>
          <w:p w14:paraId="20C6205A">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3.15</w:t>
            </w:r>
          </w:p>
        </w:tc>
        <w:tc>
          <w:tcPr>
            <w:tcW w:w="1308" w:type="dxa"/>
            <w:tcBorders>
              <w:top w:val="single" w:color="auto" w:sz="4" w:space="0"/>
              <w:left w:val="nil"/>
              <w:bottom w:val="single" w:color="auto" w:sz="4" w:space="0"/>
              <w:right w:val="single" w:color="auto" w:sz="4" w:space="0"/>
            </w:tcBorders>
            <w:vAlign w:val="center"/>
          </w:tcPr>
          <w:p w14:paraId="61360571">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4.5</w:t>
            </w:r>
          </w:p>
        </w:tc>
        <w:tc>
          <w:tcPr>
            <w:tcW w:w="1107" w:type="dxa"/>
            <w:tcBorders>
              <w:top w:val="single" w:color="auto" w:sz="4" w:space="0"/>
              <w:left w:val="nil"/>
              <w:bottom w:val="single" w:color="auto" w:sz="4" w:space="0"/>
              <w:right w:val="single" w:color="auto" w:sz="4" w:space="0"/>
            </w:tcBorders>
            <w:vAlign w:val="center"/>
          </w:tcPr>
          <w:p w14:paraId="7C88C423">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2.25</w:t>
            </w:r>
          </w:p>
        </w:tc>
        <w:tc>
          <w:tcPr>
            <w:tcW w:w="1276" w:type="dxa"/>
            <w:tcBorders>
              <w:top w:val="single" w:color="auto" w:sz="4" w:space="0"/>
              <w:left w:val="nil"/>
              <w:bottom w:val="single" w:color="auto" w:sz="4" w:space="0"/>
              <w:right w:val="single" w:color="auto" w:sz="4" w:space="0"/>
            </w:tcBorders>
            <w:vAlign w:val="center"/>
          </w:tcPr>
          <w:p w14:paraId="4E073880">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2.25</w:t>
            </w:r>
          </w:p>
        </w:tc>
        <w:tc>
          <w:tcPr>
            <w:tcW w:w="1093" w:type="dxa"/>
            <w:tcBorders>
              <w:top w:val="single" w:color="auto" w:sz="4" w:space="0"/>
              <w:left w:val="nil"/>
              <w:bottom w:val="single" w:color="auto" w:sz="4" w:space="0"/>
              <w:right w:val="single" w:color="auto" w:sz="4" w:space="0"/>
            </w:tcBorders>
            <w:vAlign w:val="center"/>
          </w:tcPr>
          <w:p w14:paraId="689E0A28">
            <w:pPr>
              <w:widowControl/>
              <w:spacing w:before="62" w:beforeLines="20" w:after="62" w:afterLines="20"/>
              <w:jc w:val="center"/>
              <w:rPr>
                <w:rFonts w:eastAsia="仿宋_GB2312"/>
                <w:color w:val="000000" w:themeColor="text1"/>
                <w:kern w:val="0"/>
                <w:szCs w:val="21"/>
                <w14:textFill>
                  <w14:solidFill>
                    <w14:schemeClr w14:val="tx1"/>
                  </w14:solidFill>
                </w14:textFill>
              </w:rPr>
            </w:pPr>
            <w:r>
              <w:rPr>
                <w:color w:val="000000"/>
                <w:sz w:val="22"/>
                <w:szCs w:val="22"/>
              </w:rPr>
              <w:t>0.9</w:t>
            </w:r>
          </w:p>
        </w:tc>
      </w:tr>
    </w:tbl>
    <w:p w14:paraId="1F3AD4DF"/>
    <w:p w14:paraId="176A198A">
      <w:pPr>
        <w:widowControl/>
        <w:adjustRightInd w:val="0"/>
        <w:spacing w:line="360" w:lineRule="auto"/>
        <w:ind w:firstLine="560" w:firstLineChars="200"/>
        <w:rPr>
          <w:rFonts w:eastAsia="仿宋_GB2312"/>
          <w:b/>
          <w:bCs/>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对于大学生科创项目执行过程中出现的成员中途退出、换人、延期结题等情况，一律不予计分。若申请者在同一时间段参加多个大学科创项目（即多个科创项目在研时间存在交集），多个项目不累计计分，只取最高分作为最终计分。</w:t>
      </w:r>
    </w:p>
    <w:p w14:paraId="2B686F5D">
      <w:pPr>
        <w:spacing w:line="360" w:lineRule="auto"/>
        <w:ind w:firstLine="560" w:firstLineChars="200"/>
        <w:rPr>
          <w:rFonts w:eastAsia="仿宋_GB2312"/>
          <w:b/>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④</w:t>
      </w:r>
      <w:r>
        <w:rPr>
          <w:rFonts w:hint="eastAsia" w:eastAsia="仿宋_GB2312"/>
          <w:b/>
          <w:bCs/>
          <w:color w:val="000000" w:themeColor="text1"/>
          <w:sz w:val="28"/>
          <w:szCs w:val="28"/>
          <w14:textFill>
            <w14:solidFill>
              <w14:schemeClr w14:val="tx1"/>
            </w14:solidFill>
          </w14:textFill>
        </w:rPr>
        <w:t>外语水平（满分10分）</w:t>
      </w:r>
    </w:p>
    <w:p w14:paraId="75FB7FE2">
      <w:pPr>
        <w:spacing w:line="360" w:lineRule="auto"/>
        <w:ind w:firstLine="560" w:firstLineChars="200"/>
        <w:jc w:val="left"/>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英语六级成绩</w:t>
      </w:r>
      <w:r>
        <w:rPr>
          <w:rFonts w:hint="eastAsia" w:ascii="微软雅黑" w:hAnsi="微软雅黑" w:eastAsia="微软雅黑" w:cs="微软雅黑"/>
          <w:color w:val="000000" w:themeColor="text1"/>
          <w:sz w:val="28"/>
          <w:szCs w:val="28"/>
          <w14:textFill>
            <w14:solidFill>
              <w14:schemeClr w14:val="tx1"/>
            </w14:solidFill>
          </w14:textFill>
        </w:rPr>
        <w:t>≧</w:t>
      </w:r>
      <w:r>
        <w:rPr>
          <w:rFonts w:hint="eastAsia" w:eastAsia="仿宋_GB2312"/>
          <w:color w:val="000000" w:themeColor="text1"/>
          <w:sz w:val="28"/>
          <w:szCs w:val="28"/>
          <w14:textFill>
            <w14:solidFill>
              <w14:schemeClr w14:val="tx1"/>
            </w14:solidFill>
          </w14:textFill>
        </w:rPr>
        <w:t>600分或雅思成绩</w:t>
      </w:r>
      <w:r>
        <w:rPr>
          <w:rFonts w:hint="eastAsia" w:ascii="微软雅黑" w:hAnsi="微软雅黑" w:eastAsia="微软雅黑" w:cs="微软雅黑"/>
          <w:color w:val="000000" w:themeColor="text1"/>
          <w:sz w:val="28"/>
          <w:szCs w:val="28"/>
          <w14:textFill>
            <w14:solidFill>
              <w14:schemeClr w14:val="tx1"/>
            </w14:solidFill>
          </w14:textFill>
        </w:rPr>
        <w:t>≧</w:t>
      </w:r>
      <w:r>
        <w:rPr>
          <w:rFonts w:hint="eastAsia" w:eastAsia="仿宋_GB2312"/>
          <w:color w:val="000000" w:themeColor="text1"/>
          <w:sz w:val="28"/>
          <w:szCs w:val="28"/>
          <w14:textFill>
            <w14:solidFill>
              <w14:schemeClr w14:val="tx1"/>
            </w14:solidFill>
          </w14:textFill>
        </w:rPr>
        <w:t>6.5分，或托福成绩≧90分，计10分；英语六级成绩500-599分或雅思成绩6分，或托福成绩80-89分，计8分；英语六级成绩425-499分，计6分；未通过英语六级，不计分。</w:t>
      </w:r>
    </w:p>
    <w:p w14:paraId="31DE5FCC">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（2）标志性成果类共有A、B类2种情况。符合A类一项，满分50分；②符合B类一项，计30分；若取得2项或多项B类成果，可累计计分，但总分不超50分。</w:t>
      </w:r>
    </w:p>
    <w:p w14:paraId="32A98B72">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在学校指定的信息类国家级或国际级A类（B类）科技竞赛取得重要奖项、或在CCF推荐重要国际会议/期刊上发表标志性成果的申请者可进行标志性成果计分。标志性成果分为A、B两类，取得A类成果计50分，B类成果计30分。</w:t>
      </w:r>
      <w:r>
        <w:rPr>
          <w:rFonts w:hint="eastAsia" w:eastAsia="仿宋_GB2312"/>
          <w:color w:val="000000" w:themeColor="text1"/>
          <w:sz w:val="28"/>
          <w:szCs w:val="28"/>
          <w14:textFill>
            <w14:solidFill>
              <w14:schemeClr w14:val="tx1"/>
            </w14:solidFill>
          </w14:textFill>
        </w:rPr>
        <w:t>对于取得B类标志性成果的申请者，其他属于A、B标志性成果类的论文和学科竞赛成绩，位次计分可以</w:t>
      </w:r>
      <w:r>
        <w:rPr>
          <w:rFonts w:hint="eastAsia" w:eastAsia="仿宋_GB2312"/>
          <w:color w:val="000000" w:themeColor="text1"/>
          <w:sz w:val="28"/>
          <w:szCs w:val="28"/>
          <w:lang w:val="en-US" w:eastAsia="zh-CN"/>
          <w14:textFill>
            <w14:solidFill>
              <w14:schemeClr w14:val="tx1"/>
            </w14:solidFill>
          </w14:textFill>
        </w:rPr>
        <w:t>参照</w:t>
      </w:r>
      <w:r>
        <w:rPr>
          <w:rFonts w:hint="eastAsia" w:eastAsia="仿宋_GB2312"/>
          <w:color w:val="000000" w:themeColor="text1"/>
          <w:sz w:val="28"/>
          <w:szCs w:val="28"/>
          <w14:textFill>
            <w14:solidFill>
              <w14:schemeClr w14:val="tx1"/>
            </w14:solidFill>
          </w14:textFill>
        </w:rPr>
        <w:t>普通成果类型计分办法。</w:t>
      </w:r>
    </w:p>
    <w:p w14:paraId="2E285775">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A类标志性成果需满足以下条件之一：</w:t>
      </w:r>
    </w:p>
    <w:p w14:paraId="6C246630">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（1）在ACM-ICPC国际大学生程序设计竞赛中获得亚洲区分站现场赛金奖及以上；</w:t>
      </w:r>
    </w:p>
    <w:p w14:paraId="7CC234EA">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（2）在中国“互联网+”大学生创新创业大赛中获国家级金奖及以上（排名第一）；</w:t>
      </w:r>
    </w:p>
    <w:p w14:paraId="6FF0C178">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（3）在“挑战杯”全国大学生课外学术科技作品竞赛获国家级金奖及以上（排名第一）；</w:t>
      </w:r>
    </w:p>
    <w:p w14:paraId="11C53A89">
      <w:pPr>
        <w:numPr>
          <w:ilvl w:val="255"/>
          <w:numId w:val="0"/>
        </w:numPr>
        <w:snapToGrid w:val="0"/>
        <w:spacing w:line="360" w:lineRule="auto"/>
        <w:ind w:firstLine="560" w:firstLineChars="200"/>
        <w:rPr>
          <w:rFonts w:hint="eastAsia" w:eastAsia="仿宋_GB2312"/>
          <w:color w:val="000000" w:themeColor="text1"/>
          <w:sz w:val="28"/>
          <w:szCs w:val="28"/>
          <w:lang w:eastAsia="zh-CN"/>
          <w14:textFill>
            <w14:solidFill>
              <w14:schemeClr w14:val="tx1"/>
            </w14:solidFill>
          </w14:textFill>
        </w:rPr>
      </w:pPr>
      <w:r>
        <w:rPr>
          <w:rFonts w:eastAsia="仿宋_GB2312"/>
          <w:color w:val="000000" w:themeColor="text1"/>
          <w:sz w:val="28"/>
          <w:szCs w:val="28"/>
          <w14:textFill>
            <w14:solidFill>
              <w14:schemeClr w14:val="tx1"/>
            </w14:solidFill>
          </w14:textFill>
        </w:rPr>
        <w:t>（4）在CCF推荐的A类国际会议或期刊上发表论文1篇及以上（导师除外排名第一）</w:t>
      </w:r>
      <w:r>
        <w:rPr>
          <w:rFonts w:hint="eastAsia" w:eastAsia="仿宋_GB2312"/>
          <w:color w:val="000000" w:themeColor="text1"/>
          <w:sz w:val="28"/>
          <w:szCs w:val="28"/>
          <w:lang w:eastAsia="zh-CN"/>
          <w14:textFill>
            <w14:solidFill>
              <w14:schemeClr w14:val="tx1"/>
            </w14:solidFill>
          </w14:textFill>
        </w:rPr>
        <w:t>；</w:t>
      </w:r>
    </w:p>
    <w:p w14:paraId="4125EF90">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lang w:eastAsia="zh-CN"/>
          <w14:textFill>
            <w14:solidFill>
              <w14:schemeClr w14:val="tx1"/>
            </w14:solidFill>
          </w14:textFill>
        </w:rPr>
        <w:t>（</w:t>
      </w:r>
      <w:r>
        <w:rPr>
          <w:rFonts w:hint="eastAsia" w:eastAsia="仿宋_GB2312"/>
          <w:color w:val="000000" w:themeColor="text1"/>
          <w:sz w:val="28"/>
          <w:szCs w:val="28"/>
          <w:lang w:val="en-US" w:eastAsia="zh-CN"/>
          <w14:textFill>
            <w14:solidFill>
              <w14:schemeClr w14:val="tx1"/>
            </w14:solidFill>
          </w14:textFill>
        </w:rPr>
        <w:t>5</w:t>
      </w:r>
      <w:r>
        <w:rPr>
          <w:rFonts w:hint="eastAsia" w:eastAsia="仿宋_GB2312"/>
          <w:color w:val="000000" w:themeColor="text1"/>
          <w:sz w:val="28"/>
          <w:szCs w:val="28"/>
          <w:lang w:eastAsia="zh-CN"/>
          <w14:textFill>
            <w14:solidFill>
              <w14:schemeClr w14:val="tx1"/>
            </w14:solidFill>
          </w14:textFill>
        </w:rPr>
        <w:t>）</w:t>
      </w:r>
      <w:r>
        <w:rPr>
          <w:rFonts w:hint="eastAsia" w:eastAsia="仿宋_GB2312"/>
          <w:color w:val="000000" w:themeColor="text1"/>
          <w:sz w:val="28"/>
          <w:szCs w:val="28"/>
          <w:lang w:val="en-US" w:eastAsia="zh-CN"/>
          <w14:textFill>
            <w14:solidFill>
              <w14:schemeClr w14:val="tx1"/>
            </w14:solidFill>
          </w14:textFill>
        </w:rPr>
        <w:t>参军入伍服兵役，并获得“四有”优秀士兵荣誉。</w:t>
      </w:r>
    </w:p>
    <w:p w14:paraId="23589CE3">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B类标志性成果需满足以下条件之一：</w:t>
      </w:r>
    </w:p>
    <w:p w14:paraId="6DB862F1">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（1）在ACM-ICPC国际大学生程序设计竞赛中获得亚洲区分站现场赛银奖及以上；</w:t>
      </w:r>
    </w:p>
    <w:p w14:paraId="50C20497">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（2）在中国“互联网+”大学生创新创业大赛中获国家级银奖及以上（排名第一）；</w:t>
      </w:r>
    </w:p>
    <w:p w14:paraId="21CE10F1">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（3）在“挑战杯”全国大学生课外学术科技作品竞赛获国家级银奖及以上（排名第一）；</w:t>
      </w:r>
    </w:p>
    <w:p w14:paraId="4ACF32A0">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（4）在CCF推荐的B类及以上国际会议或期刊上发表论文1篇及以上（导师除外排名第一）。</w:t>
      </w:r>
    </w:p>
    <w:p w14:paraId="10A9CF8D">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注：CCF推荐的国际会议论文指“Full paper”或“Regular paper”（正式发表的长文），对于会议上其他形式发表的论文如Short paper、Demo paper、Technical brief、Summary以及作为伴随会议的Workshop等不计入加分范围。</w:t>
      </w:r>
    </w:p>
    <w:p w14:paraId="35F11545">
      <w:pPr>
        <w:numPr>
          <w:ilvl w:val="255"/>
          <w:numId w:val="0"/>
        </w:num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第十八条</w:t>
      </w:r>
      <w:r>
        <w:rPr>
          <w:rFonts w:hint="eastAsia" w:eastAsia="仿宋_GB2312"/>
          <w:color w:val="000000" w:themeColor="text1"/>
          <w:sz w:val="28"/>
          <w:szCs w:val="28"/>
          <w14:textFill>
            <w14:solidFill>
              <w14:schemeClr w14:val="tx1"/>
            </w14:solidFill>
          </w14:textFill>
        </w:rPr>
        <w:t xml:space="preserve">  科研能力综合考查（满分50分）</w:t>
      </w:r>
    </w:p>
    <w:p w14:paraId="4AAA7A91">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科研能力综合考查包括社会服务（满分2分），外语水平（满分8分），科研规划（满分25分），专业知识（满分15分）四部分，其中社会服务主要指参军入伍服兵役、志愿者服务、国际组织实习等经历；参军入伍服兵役者、国际组织实习经历者2分；参加志愿者服务每次加0.5分，加满2分为止。</w:t>
      </w:r>
    </w:p>
    <w:p w14:paraId="2187EEE2">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学院成立“科研能力综合考查评审小组”</w:t>
      </w:r>
      <w:r>
        <w:rPr>
          <w:rFonts w:hint="eastAsia" w:eastAsia="仿宋_GB2312"/>
          <w:color w:val="000000" w:themeColor="text1"/>
          <w:sz w:val="28"/>
          <w:szCs w:val="28"/>
          <w14:textFill>
            <w14:solidFill>
              <w14:schemeClr w14:val="tx1"/>
            </w14:solidFill>
          </w14:textFill>
        </w:rPr>
        <w:t>，</w:t>
      </w:r>
      <w:r>
        <w:rPr>
          <w:rFonts w:eastAsia="仿宋_GB2312"/>
          <w:color w:val="000000" w:themeColor="text1"/>
          <w:sz w:val="28"/>
          <w:szCs w:val="28"/>
          <w14:textFill>
            <w14:solidFill>
              <w14:schemeClr w14:val="tx1"/>
            </w14:solidFill>
          </w14:textFill>
        </w:rPr>
        <w:t>学院</w:t>
      </w:r>
      <w:bookmarkStart w:id="0" w:name="_GoBack"/>
      <w:bookmarkEnd w:id="0"/>
      <w:r>
        <w:rPr>
          <w:rFonts w:hint="eastAsia" w:eastAsia="仿宋_GB2312"/>
          <w:color w:val="000000" w:themeColor="text1"/>
          <w:sz w:val="28"/>
          <w:szCs w:val="28"/>
          <w14:textFill>
            <w14:solidFill>
              <w14:schemeClr w14:val="tx1"/>
            </w14:solidFill>
          </w14:textFill>
        </w:rPr>
        <w:t>负责人担</w:t>
      </w:r>
      <w:r>
        <w:rPr>
          <w:rFonts w:eastAsia="仿宋_GB2312"/>
          <w:color w:val="000000" w:themeColor="text1"/>
          <w:sz w:val="28"/>
          <w:szCs w:val="28"/>
          <w14:textFill>
            <w14:solidFill>
              <w14:schemeClr w14:val="tx1"/>
            </w14:solidFill>
          </w14:textFill>
        </w:rPr>
        <w:t>任组长</w:t>
      </w:r>
      <w:r>
        <w:rPr>
          <w:rFonts w:hint="eastAsia" w:eastAsia="仿宋_GB2312"/>
          <w:color w:val="000000" w:themeColor="text1"/>
          <w:sz w:val="28"/>
          <w:szCs w:val="28"/>
          <w14:textFill>
            <w14:solidFill>
              <w14:schemeClr w14:val="tx1"/>
            </w14:solidFill>
          </w14:textFill>
        </w:rPr>
        <w:t>，成员由</w:t>
      </w:r>
      <w:r>
        <w:rPr>
          <w:rFonts w:eastAsia="仿宋_GB2312"/>
          <w:color w:val="000000" w:themeColor="text1"/>
          <w:sz w:val="28"/>
          <w:szCs w:val="28"/>
          <w14:textFill>
            <w14:solidFill>
              <w14:schemeClr w14:val="tx1"/>
            </w14:solidFill>
          </w14:textFill>
        </w:rPr>
        <w:t>导师代表和辅导员等</w:t>
      </w:r>
      <w:r>
        <w:rPr>
          <w:rFonts w:hint="eastAsia" w:eastAsia="仿宋_GB2312"/>
          <w:color w:val="000000" w:themeColor="text1"/>
          <w:sz w:val="28"/>
          <w:szCs w:val="28"/>
          <w14:textFill>
            <w14:solidFill>
              <w14:schemeClr w14:val="tx1"/>
            </w14:solidFill>
          </w14:textFill>
        </w:rPr>
        <w:t>组成</w:t>
      </w:r>
      <w:r>
        <w:rPr>
          <w:rFonts w:eastAsia="仿宋_GB2312"/>
          <w:color w:val="000000" w:themeColor="text1"/>
          <w:sz w:val="28"/>
          <w:szCs w:val="28"/>
          <w14:textFill>
            <w14:solidFill>
              <w14:schemeClr w14:val="tx1"/>
            </w14:solidFill>
          </w14:textFill>
        </w:rPr>
        <w:t>，</w:t>
      </w:r>
      <w:r>
        <w:rPr>
          <w:rFonts w:hint="eastAsia" w:eastAsia="仿宋_GB2312"/>
          <w:color w:val="000000" w:themeColor="text1"/>
          <w:sz w:val="28"/>
          <w:szCs w:val="28"/>
          <w14:textFill>
            <w14:solidFill>
              <w14:schemeClr w14:val="tx1"/>
            </w14:solidFill>
          </w14:textFill>
        </w:rPr>
        <w:t>对</w:t>
      </w:r>
      <w:r>
        <w:rPr>
          <w:rFonts w:eastAsia="仿宋_GB2312"/>
          <w:color w:val="000000" w:themeColor="text1"/>
          <w:sz w:val="28"/>
          <w:szCs w:val="28"/>
          <w14:textFill>
            <w14:solidFill>
              <w14:schemeClr w14:val="tx1"/>
            </w14:solidFill>
          </w14:textFill>
        </w:rPr>
        <w:t>申请者的“科研能力综合考查”。进行综合评定打分。</w:t>
      </w:r>
    </w:p>
    <w:p w14:paraId="2ABDA23C">
      <w:pPr>
        <w:snapToGrid w:val="0"/>
        <w:spacing w:line="360" w:lineRule="auto"/>
        <w:ind w:firstLine="562" w:firstLineChars="200"/>
        <w:jc w:val="center"/>
        <w:rPr>
          <w:rFonts w:ascii="黑体" w:eastAsia="黑体"/>
          <w:b/>
          <w:bCs/>
          <w:color w:val="000000" w:themeColor="text1"/>
          <w:sz w:val="28"/>
          <w:szCs w:val="28"/>
          <w14:textFill>
            <w14:solidFill>
              <w14:schemeClr w14:val="tx1"/>
            </w14:solidFill>
          </w14:textFill>
        </w:rPr>
      </w:pPr>
      <w:r>
        <w:rPr>
          <w:rFonts w:hint="eastAsia" w:ascii="黑体" w:eastAsia="黑体"/>
          <w:b/>
          <w:bCs/>
          <w:color w:val="000000" w:themeColor="text1"/>
          <w:sz w:val="28"/>
          <w:szCs w:val="28"/>
          <w14:textFill>
            <w14:solidFill>
              <w14:schemeClr w14:val="tx1"/>
            </w14:solidFill>
          </w14:textFill>
        </w:rPr>
        <w:t>第六章  组织实施</w:t>
      </w:r>
    </w:p>
    <w:p w14:paraId="67848388">
      <w:pPr>
        <w:numPr>
          <w:ilvl w:val="255"/>
          <w:numId w:val="0"/>
        </w:num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第十</w:t>
      </w:r>
      <w:r>
        <w:rPr>
          <w:rFonts w:hint="eastAsia" w:eastAsia="仿宋_GB2312"/>
          <w:b/>
          <w:bCs/>
          <w:color w:val="000000" w:themeColor="text1"/>
          <w:sz w:val="28"/>
          <w:szCs w:val="28"/>
          <w14:textFill>
            <w14:solidFill>
              <w14:schemeClr w14:val="tx1"/>
            </w14:solidFill>
          </w14:textFill>
        </w:rPr>
        <w:t>九</w:t>
      </w:r>
      <w:r>
        <w:rPr>
          <w:rFonts w:eastAsia="仿宋_GB2312"/>
          <w:b/>
          <w:bCs/>
          <w:color w:val="000000" w:themeColor="text1"/>
          <w:sz w:val="28"/>
          <w:szCs w:val="28"/>
          <w14:textFill>
            <w14:solidFill>
              <w14:schemeClr w14:val="tx1"/>
            </w14:solidFill>
          </w14:textFill>
        </w:rPr>
        <w:t>条</w:t>
      </w:r>
      <w:r>
        <w:rPr>
          <w:rFonts w:hint="eastAsia" w:eastAsia="仿宋_GB2312"/>
          <w:color w:val="000000" w:themeColor="text1"/>
          <w:sz w:val="28"/>
          <w:szCs w:val="28"/>
          <w14:textFill>
            <w14:solidFill>
              <w14:schemeClr w14:val="tx1"/>
            </w14:solidFill>
          </w14:textFill>
        </w:rPr>
        <w:t xml:space="preserve">  </w:t>
      </w:r>
      <w:r>
        <w:rPr>
          <w:rFonts w:eastAsia="仿宋_GB2312"/>
          <w:color w:val="000000" w:themeColor="text1"/>
          <w:sz w:val="28"/>
          <w:szCs w:val="28"/>
          <w14:textFill>
            <w14:solidFill>
              <w14:schemeClr w14:val="tx1"/>
            </w14:solidFill>
          </w14:textFill>
        </w:rPr>
        <w:t>工作程序</w:t>
      </w:r>
    </w:p>
    <w:p w14:paraId="0DB72238">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1.安排部署。学院成立推免生遴选工作小组和相关组织机构，制定并公布相关工作细则，经公示且无异议，报研究生院审核、备案。发布工作通知，安排部署推免生遴选工作。</w:t>
      </w:r>
    </w:p>
    <w:p w14:paraId="20ECDB65">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2.名单公布。学院确定学业成绩符合基本条件的学生名单，并在学院网上公布。</w:t>
      </w:r>
    </w:p>
    <w:p w14:paraId="4C64A58C">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3.学生申请。学业成绩经公示且无异议的入选学生在规定时间内，填写“推免资格申请表”</w:t>
      </w:r>
      <w:r>
        <w:rPr>
          <w:rFonts w:hint="eastAsia" w:eastAsia="仿宋_GB2312"/>
          <w:color w:val="000000" w:themeColor="text1"/>
          <w:sz w:val="28"/>
          <w:szCs w:val="28"/>
          <w14:textFill>
            <w14:solidFill>
              <w14:schemeClr w14:val="tx1"/>
            </w14:solidFill>
          </w14:textFill>
        </w:rPr>
        <w:t>，与认证过的各类相关科研支撑材料一同</w:t>
      </w:r>
      <w:r>
        <w:rPr>
          <w:rFonts w:eastAsia="仿宋_GB2312"/>
          <w:color w:val="000000" w:themeColor="text1"/>
          <w:sz w:val="28"/>
          <w:szCs w:val="28"/>
          <w14:textFill>
            <w14:solidFill>
              <w14:schemeClr w14:val="tx1"/>
            </w14:solidFill>
          </w14:textFill>
        </w:rPr>
        <w:t>提交研究生办公室</w:t>
      </w:r>
      <w:r>
        <w:rPr>
          <w:rFonts w:hint="eastAsia" w:eastAsia="仿宋_GB2312"/>
          <w:color w:val="000000" w:themeColor="text1"/>
          <w:sz w:val="28"/>
          <w:szCs w:val="28"/>
          <w14:textFill>
            <w14:solidFill>
              <w14:schemeClr w14:val="tx1"/>
            </w14:solidFill>
          </w14:textFill>
        </w:rPr>
        <w:t>。</w:t>
      </w:r>
    </w:p>
    <w:p w14:paraId="06773E92">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4.心理测试。学院统一组织确定申请资格的学生进行心理测试。</w:t>
      </w:r>
    </w:p>
    <w:p w14:paraId="3FBB8B7B">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5.综合考核。根据有关考核办法和本细则规定，对具有申请资格的学生进行综合考核，依据综合考核总成绩排名和推荐指标，确定拟推免生名单。</w:t>
      </w:r>
    </w:p>
    <w:p w14:paraId="4D811034">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6.结果审核。推免生遴选工作小组审核考核结果和推免生名单。</w:t>
      </w:r>
    </w:p>
    <w:p w14:paraId="3570F4CB">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7.公示上报。在学院网上公示 3 日且无异议，报送研究生院。</w:t>
      </w:r>
    </w:p>
    <w:p w14:paraId="47913D6A">
      <w:pPr>
        <w:snapToGrid w:val="0"/>
        <w:spacing w:line="360" w:lineRule="auto"/>
        <w:ind w:firstLine="562" w:firstLineChars="200"/>
        <w:jc w:val="center"/>
        <w:rPr>
          <w:rFonts w:ascii="黑体" w:eastAsia="黑体"/>
          <w:b/>
          <w:bCs/>
          <w:color w:val="000000" w:themeColor="text1"/>
          <w:sz w:val="28"/>
          <w:szCs w:val="28"/>
          <w14:textFill>
            <w14:solidFill>
              <w14:schemeClr w14:val="tx1"/>
            </w14:solidFill>
          </w14:textFill>
        </w:rPr>
      </w:pPr>
      <w:r>
        <w:rPr>
          <w:rFonts w:hint="eastAsia" w:ascii="黑体" w:eastAsia="黑体"/>
          <w:b/>
          <w:bCs/>
          <w:color w:val="000000" w:themeColor="text1"/>
          <w:sz w:val="28"/>
          <w:szCs w:val="28"/>
          <w14:textFill>
            <w14:solidFill>
              <w14:schemeClr w14:val="tx1"/>
            </w14:solidFill>
          </w14:textFill>
        </w:rPr>
        <w:t>第七章  其他</w:t>
      </w:r>
    </w:p>
    <w:p w14:paraId="3A7259F1">
      <w:pPr>
        <w:numPr>
          <w:ilvl w:val="255"/>
          <w:numId w:val="0"/>
        </w:num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w:t>
      </w:r>
      <w:r>
        <w:rPr>
          <w:rFonts w:hint="eastAsia" w:eastAsia="仿宋_GB2312"/>
          <w:b/>
          <w:bCs/>
          <w:color w:val="000000" w:themeColor="text1"/>
          <w:sz w:val="28"/>
          <w:szCs w:val="28"/>
          <w14:textFill>
            <w14:solidFill>
              <w14:schemeClr w14:val="tx1"/>
            </w14:solidFill>
          </w14:textFill>
        </w:rPr>
        <w:t>二十</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研究生支教团、</w:t>
      </w:r>
      <w:r>
        <w:rPr>
          <w:rFonts w:hint="eastAsia" w:eastAsia="仿宋_GB2312"/>
          <w:color w:val="000000" w:themeColor="text1"/>
          <w:sz w:val="28"/>
          <w:szCs w:val="28"/>
          <w14:textFill>
            <w14:solidFill>
              <w14:schemeClr w14:val="tx1"/>
            </w14:solidFill>
          </w14:textFill>
        </w:rPr>
        <w:t>工程硕博士</w:t>
      </w:r>
      <w:r>
        <w:rPr>
          <w:rFonts w:eastAsia="仿宋_GB2312"/>
          <w:color w:val="000000" w:themeColor="text1"/>
          <w:sz w:val="28"/>
          <w:szCs w:val="28"/>
          <w14:textFill>
            <w14:solidFill>
              <w14:schemeClr w14:val="tx1"/>
            </w14:solidFill>
          </w14:textFill>
        </w:rPr>
        <w:t>、</w:t>
      </w:r>
      <w:r>
        <w:rPr>
          <w:rFonts w:hint="eastAsia" w:eastAsia="仿宋_GB2312"/>
          <w:color w:val="000000" w:themeColor="text1"/>
          <w:sz w:val="28"/>
          <w:szCs w:val="28"/>
          <w14:textFill>
            <w14:solidFill>
              <w14:schemeClr w14:val="tx1"/>
            </w14:solidFill>
          </w14:textFill>
        </w:rPr>
        <w:t>国家级基础学科拔尖学生培养基地、</w:t>
      </w:r>
      <w:r>
        <w:rPr>
          <w:rFonts w:eastAsia="仿宋_GB2312"/>
          <w:color w:val="000000" w:themeColor="text1"/>
          <w:sz w:val="28"/>
          <w:szCs w:val="28"/>
          <w14:textFill>
            <w14:solidFill>
              <w14:schemeClr w14:val="tx1"/>
            </w14:solidFill>
          </w14:textFill>
        </w:rPr>
        <w:t>“双一流”学科群、拔尖创新人才计划、卓越农林人才计划、</w:t>
      </w:r>
      <w:r>
        <w:rPr>
          <w:rFonts w:hint="eastAsia" w:eastAsia="仿宋_GB2312"/>
          <w:color w:val="000000" w:themeColor="text1"/>
          <w:sz w:val="28"/>
          <w:szCs w:val="28"/>
          <w14:textFill>
            <w14:solidFill>
              <w14:schemeClr w14:val="tx1"/>
            </w14:solidFill>
          </w14:textFill>
        </w:rPr>
        <w:t>学术</w:t>
      </w:r>
      <w:r>
        <w:rPr>
          <w:rFonts w:eastAsia="仿宋_GB2312"/>
          <w:color w:val="000000" w:themeColor="text1"/>
          <w:sz w:val="28"/>
          <w:szCs w:val="28"/>
          <w14:textFill>
            <w14:solidFill>
              <w14:schemeClr w14:val="tx1"/>
            </w14:solidFill>
          </w14:textFill>
        </w:rPr>
        <w:t>特长生、2+3辅导员、推免工作奖励等推免生的推荐，按照学校具体项目和学院相关考核文件执行。</w:t>
      </w:r>
    </w:p>
    <w:p w14:paraId="7016704B">
      <w:pPr>
        <w:numPr>
          <w:ilvl w:val="255"/>
          <w:numId w:val="0"/>
        </w:num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w:t>
      </w:r>
      <w:r>
        <w:rPr>
          <w:rFonts w:hint="eastAsia" w:eastAsia="仿宋_GB2312"/>
          <w:b/>
          <w:bCs/>
          <w:color w:val="000000" w:themeColor="text1"/>
          <w:sz w:val="28"/>
          <w:szCs w:val="28"/>
          <w14:textFill>
            <w14:solidFill>
              <w14:schemeClr w14:val="tx1"/>
            </w14:solidFill>
          </w14:textFill>
        </w:rPr>
        <w:t>二十一</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在学校和学院规定的推免期限内未提出推免申请者，学院不再保留其推免资格。</w:t>
      </w:r>
    </w:p>
    <w:p w14:paraId="73A60F50">
      <w:pPr>
        <w:numPr>
          <w:ilvl w:val="255"/>
          <w:numId w:val="0"/>
        </w:num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第二十</w:t>
      </w:r>
      <w:r>
        <w:rPr>
          <w:rFonts w:hint="eastAsia" w:eastAsia="仿宋_GB2312"/>
          <w:b/>
          <w:bCs/>
          <w:color w:val="000000" w:themeColor="text1"/>
          <w:sz w:val="28"/>
          <w:szCs w:val="28"/>
          <w14:textFill>
            <w14:solidFill>
              <w14:schemeClr w14:val="tx1"/>
            </w14:solidFill>
          </w14:textFill>
        </w:rPr>
        <w:t>二</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推免生出现下列情况之一，按有关规定处理，并取消其推免资格或入学资格：</w:t>
      </w:r>
    </w:p>
    <w:p w14:paraId="45CF2977">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1.弄虚作假、缺乏诚信者。</w:t>
      </w:r>
    </w:p>
    <w:p w14:paraId="53C8112C">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2.思想政治品德考核不合格或考核成绩小于 60 分者。</w:t>
      </w:r>
    </w:p>
    <w:p w14:paraId="74B05460">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3.受学校纪律处分，在处分期内者。</w:t>
      </w:r>
    </w:p>
    <w:p w14:paraId="12E16F5E">
      <w:pPr>
        <w:numPr>
          <w:ilvl w:val="255"/>
          <w:numId w:val="0"/>
        </w:numPr>
        <w:snapToGrid w:val="0"/>
        <w:spacing w:line="360" w:lineRule="auto"/>
        <w:ind w:firstLine="560" w:firstLineChars="200"/>
        <w:rPr>
          <w:rFonts w:eastAsia="仿宋_GB2312"/>
          <w:color w:val="000000" w:themeColor="text1"/>
          <w:sz w:val="28"/>
          <w:szCs w:val="28"/>
          <w14:textFill>
            <w14:solidFill>
              <w14:schemeClr w14:val="tx1"/>
            </w14:solidFill>
          </w14:textFill>
        </w:rPr>
      </w:pPr>
      <w:r>
        <w:rPr>
          <w:rFonts w:eastAsia="仿宋_GB2312"/>
          <w:color w:val="000000" w:themeColor="text1"/>
          <w:sz w:val="28"/>
          <w:szCs w:val="28"/>
          <w14:textFill>
            <w14:solidFill>
              <w14:schemeClr w14:val="tx1"/>
            </w14:solidFill>
          </w14:textFill>
        </w:rPr>
        <w:t>4.在规定学习年限内不能按期毕业取得学士学位者。</w:t>
      </w:r>
    </w:p>
    <w:p w14:paraId="63C99717">
      <w:pPr>
        <w:numPr>
          <w:ilvl w:val="255"/>
          <w:numId w:val="0"/>
        </w:num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第二十</w:t>
      </w:r>
      <w:r>
        <w:rPr>
          <w:rFonts w:hint="eastAsia" w:eastAsia="仿宋_GB2312"/>
          <w:b/>
          <w:bCs/>
          <w:color w:val="000000" w:themeColor="text1"/>
          <w:sz w:val="28"/>
          <w:szCs w:val="28"/>
          <w14:textFill>
            <w14:solidFill>
              <w14:schemeClr w14:val="tx1"/>
            </w14:solidFill>
          </w14:textFill>
        </w:rPr>
        <w:t>三</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申请推免的学生，如对遴选结果有异议，在公示期内，可向学院推免生遴选监督工作组提出复议申请，监督工作组按照学校和学院有关工作程序组织复议。</w:t>
      </w:r>
    </w:p>
    <w:p w14:paraId="7EFD57DC">
      <w:pPr>
        <w:numPr>
          <w:ilvl w:val="255"/>
          <w:numId w:val="0"/>
        </w:numPr>
        <w:snapToGrid w:val="0"/>
        <w:spacing w:line="360" w:lineRule="auto"/>
        <w:ind w:firstLine="562" w:firstLineChars="200"/>
        <w:rPr>
          <w:rFonts w:hint="eastAsia" w:eastAsia="仿宋_GB2312"/>
          <w:color w:val="000000" w:themeColor="text1"/>
          <w:sz w:val="28"/>
          <w:szCs w:val="28"/>
          <w14:textFill>
            <w14:solidFill>
              <w14:schemeClr w14:val="tx1"/>
            </w14:solidFill>
          </w14:textFill>
        </w:rPr>
      </w:pPr>
      <w:r>
        <w:rPr>
          <w:rFonts w:eastAsia="仿宋_GB2312"/>
          <w:b/>
          <w:bCs/>
          <w:color w:val="000000" w:themeColor="text1"/>
          <w:sz w:val="28"/>
          <w:szCs w:val="28"/>
          <w14:textFill>
            <w14:solidFill>
              <w14:schemeClr w14:val="tx1"/>
            </w14:solidFill>
          </w14:textFill>
        </w:rPr>
        <w:t>第二十</w:t>
      </w:r>
      <w:r>
        <w:rPr>
          <w:rFonts w:hint="eastAsia" w:eastAsia="仿宋_GB2312"/>
          <w:b/>
          <w:bCs/>
          <w:color w:val="000000" w:themeColor="text1"/>
          <w:sz w:val="28"/>
          <w:szCs w:val="28"/>
          <w14:textFill>
            <w14:solidFill>
              <w14:schemeClr w14:val="tx1"/>
            </w14:solidFill>
          </w14:textFill>
        </w:rPr>
        <w:t>四</w:t>
      </w:r>
      <w:r>
        <w:rPr>
          <w:rFonts w:eastAsia="仿宋_GB2312"/>
          <w:b/>
          <w:bCs/>
          <w:color w:val="000000" w:themeColor="text1"/>
          <w:sz w:val="28"/>
          <w:szCs w:val="28"/>
          <w14:textFill>
            <w14:solidFill>
              <w14:schemeClr w14:val="tx1"/>
            </w14:solidFill>
          </w14:textFill>
        </w:rPr>
        <w:t>条</w:t>
      </w:r>
      <w:r>
        <w:rPr>
          <w:rFonts w:eastAsia="仿宋_GB2312"/>
          <w:color w:val="000000" w:themeColor="text1"/>
          <w:sz w:val="28"/>
          <w:szCs w:val="28"/>
          <w14:textFill>
            <w14:solidFill>
              <w14:schemeClr w14:val="tx1"/>
            </w14:solidFill>
          </w14:textFill>
        </w:rPr>
        <w:t xml:space="preserve">  本细则未尽事宜，由学院推免生遴选工作小组研究确定</w:t>
      </w:r>
      <w:r>
        <w:rPr>
          <w:rFonts w:hint="eastAsia" w:eastAsia="仿宋_GB2312"/>
          <w:color w:val="000000" w:themeColor="text1"/>
          <w:sz w:val="28"/>
          <w:szCs w:val="28"/>
          <w14:textFill>
            <w14:solidFill>
              <w14:schemeClr w14:val="tx1"/>
            </w14:solidFill>
          </w14:textFill>
        </w:rPr>
        <w:t>。</w:t>
      </w:r>
    </w:p>
    <w:p w14:paraId="2BFC6709">
      <w:pPr>
        <w:numPr>
          <w:ilvl w:val="255"/>
          <w:numId w:val="0"/>
        </w:numPr>
        <w:snapToGrid w:val="0"/>
        <w:spacing w:line="360" w:lineRule="auto"/>
        <w:ind w:firstLine="562" w:firstLineChars="200"/>
        <w:rPr>
          <w:rFonts w:eastAsia="仿宋_GB2312"/>
          <w:color w:val="000000" w:themeColor="text1"/>
          <w:sz w:val="28"/>
          <w:szCs w:val="28"/>
          <w14:textFill>
            <w14:solidFill>
              <w14:schemeClr w14:val="tx1"/>
            </w14:solidFill>
          </w14:textFill>
        </w:rPr>
      </w:pPr>
      <w:r>
        <w:rPr>
          <w:rFonts w:hint="eastAsia" w:eastAsia="仿宋_GB2312"/>
          <w:b/>
          <w:bCs/>
          <w:color w:val="000000" w:themeColor="text1"/>
          <w:sz w:val="28"/>
          <w:szCs w:val="28"/>
          <w14:textFill>
            <w14:solidFill>
              <w14:schemeClr w14:val="tx1"/>
            </w14:solidFill>
          </w14:textFill>
        </w:rPr>
        <w:t>第二十五条</w:t>
      </w:r>
      <w:r>
        <w:rPr>
          <w:rFonts w:hint="eastAsia" w:eastAsia="仿宋_GB2312"/>
          <w:color w:val="000000" w:themeColor="text1"/>
          <w:sz w:val="28"/>
          <w:szCs w:val="28"/>
          <w14:textFill>
            <w14:solidFill>
              <w14:schemeClr w14:val="tx1"/>
            </w14:solidFill>
          </w14:textFill>
        </w:rPr>
        <w:t xml:space="preserve">  本办法由学院研究生工作办公室负责解释。</w:t>
      </w:r>
    </w:p>
    <w:p w14:paraId="5B181753"/>
    <w:p w14:paraId="06639A97">
      <w:pPr>
        <w:rPr>
          <w:color w:val="EE000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440E2F-4280-4F3D-8177-AADBBA9FFD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6F5B697-D5DA-4A24-A1DC-1C01248FCA34}"/>
  </w:font>
  <w:font w:name="方正小标宋简体">
    <w:panose1 w:val="02010600010101010101"/>
    <w:charset w:val="86"/>
    <w:family w:val="script"/>
    <w:pitch w:val="default"/>
    <w:sig w:usb0="00000001" w:usb1="080E0000" w:usb2="00000000" w:usb3="00000000" w:csb0="00040000" w:csb1="00000000"/>
    <w:embedRegular r:id="rId3" w:fontKey="{2EE866FC-F048-4B2E-B073-C4953B4078F5}"/>
  </w:font>
  <w:font w:name="仿宋_GB2312">
    <w:panose1 w:val="02010609030101010101"/>
    <w:charset w:val="86"/>
    <w:family w:val="modern"/>
    <w:pitch w:val="default"/>
    <w:sig w:usb0="00000001" w:usb1="080E0000" w:usb2="00000000" w:usb3="00000000" w:csb0="00040000" w:csb1="00000000"/>
    <w:embedRegular r:id="rId4" w:fontKey="{F4632D08-09FE-42E1-8834-690374919EA6}"/>
  </w:font>
  <w:font w:name="Segoe UI">
    <w:panose1 w:val="020B0502040204020203"/>
    <w:charset w:val="00"/>
    <w:family w:val="swiss"/>
    <w:pitch w:val="default"/>
    <w:sig w:usb0="E4002EFF" w:usb1="C000E47F" w:usb2="00000009" w:usb3="00000000" w:csb0="200001FF" w:csb1="00000000"/>
    <w:embedRegular r:id="rId5" w:fontKey="{442E3B9D-9B0D-4392-9CFE-3A6B0249DEF3}"/>
  </w:font>
  <w:font w:name="微软雅黑">
    <w:panose1 w:val="020B0503020204020204"/>
    <w:charset w:val="86"/>
    <w:family w:val="swiss"/>
    <w:pitch w:val="default"/>
    <w:sig w:usb0="80000287" w:usb1="2ACF3C50" w:usb2="00000016" w:usb3="00000000" w:csb0="0004001F" w:csb1="00000000"/>
    <w:embedRegular r:id="rId6" w:fontKey="{A4603968-E160-42A0-8796-28C177143AD5}"/>
  </w:font>
  <w:font w:name="仿宋">
    <w:panose1 w:val="02010609060101010101"/>
    <w:charset w:val="86"/>
    <w:family w:val="modern"/>
    <w:pitch w:val="default"/>
    <w:sig w:usb0="800002BF" w:usb1="38CF7CFA" w:usb2="00000016" w:usb3="00000000" w:csb0="00040001" w:csb1="00000000"/>
    <w:embedRegular r:id="rId7" w:fontKey="{8E568864-7381-466E-BD92-0F08467549B7}"/>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3055394"/>
    </w:sdtPr>
    <w:sdtContent>
      <w:p w14:paraId="0F5DE3ED">
        <w:pPr>
          <w:pStyle w:val="4"/>
          <w:jc w:val="center"/>
        </w:pPr>
        <w:r>
          <w:fldChar w:fldCharType="begin"/>
        </w:r>
        <w:r>
          <w:instrText xml:space="preserve">PAGE   \* MERGEFORMAT</w:instrText>
        </w:r>
        <w:r>
          <w:fldChar w:fldCharType="separate"/>
        </w:r>
        <w:r>
          <w:rPr>
            <w:lang w:val="zh-CN"/>
          </w:rPr>
          <w:t>1</w:t>
        </w:r>
        <w:r>
          <w:fldChar w:fldCharType="end"/>
        </w:r>
      </w:p>
    </w:sdtContent>
  </w:sdt>
  <w:p w14:paraId="4624BB3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kNTdjNjZiOGUwMTI1MTQ4NTQ4NDUzZGI4ZDc0NGIifQ=="/>
  </w:docVars>
  <w:rsids>
    <w:rsidRoot w:val="00190B58"/>
    <w:rsid w:val="00017FF5"/>
    <w:rsid w:val="000454C0"/>
    <w:rsid w:val="000471E7"/>
    <w:rsid w:val="00050D68"/>
    <w:rsid w:val="00051641"/>
    <w:rsid w:val="00066CAE"/>
    <w:rsid w:val="00067564"/>
    <w:rsid w:val="00092F3F"/>
    <w:rsid w:val="000A408F"/>
    <w:rsid w:val="000B389F"/>
    <w:rsid w:val="000B700D"/>
    <w:rsid w:val="000E4BA1"/>
    <w:rsid w:val="000E507B"/>
    <w:rsid w:val="000F25E2"/>
    <w:rsid w:val="001018F8"/>
    <w:rsid w:val="001118E2"/>
    <w:rsid w:val="001268D9"/>
    <w:rsid w:val="0013581A"/>
    <w:rsid w:val="00156834"/>
    <w:rsid w:val="001756B1"/>
    <w:rsid w:val="00190B58"/>
    <w:rsid w:val="001925BC"/>
    <w:rsid w:val="00193B95"/>
    <w:rsid w:val="001B31C7"/>
    <w:rsid w:val="001B41B8"/>
    <w:rsid w:val="001B6FE6"/>
    <w:rsid w:val="001C5ACD"/>
    <w:rsid w:val="001D472B"/>
    <w:rsid w:val="001D5D9D"/>
    <w:rsid w:val="001E4B4C"/>
    <w:rsid w:val="001F188A"/>
    <w:rsid w:val="001F1E7B"/>
    <w:rsid w:val="0021349E"/>
    <w:rsid w:val="00214BE3"/>
    <w:rsid w:val="00215406"/>
    <w:rsid w:val="00221018"/>
    <w:rsid w:val="00225FC3"/>
    <w:rsid w:val="0023549F"/>
    <w:rsid w:val="0024736E"/>
    <w:rsid w:val="00252220"/>
    <w:rsid w:val="00275373"/>
    <w:rsid w:val="00275DA3"/>
    <w:rsid w:val="00280550"/>
    <w:rsid w:val="002856AA"/>
    <w:rsid w:val="00286D0D"/>
    <w:rsid w:val="002B0017"/>
    <w:rsid w:val="002C729A"/>
    <w:rsid w:val="002D3189"/>
    <w:rsid w:val="002D33D6"/>
    <w:rsid w:val="002D6882"/>
    <w:rsid w:val="002E2837"/>
    <w:rsid w:val="002E37E8"/>
    <w:rsid w:val="002F0519"/>
    <w:rsid w:val="002F6DB0"/>
    <w:rsid w:val="002F7EB3"/>
    <w:rsid w:val="003165E3"/>
    <w:rsid w:val="00320778"/>
    <w:rsid w:val="00335354"/>
    <w:rsid w:val="0033599B"/>
    <w:rsid w:val="003621B8"/>
    <w:rsid w:val="00370FDA"/>
    <w:rsid w:val="00380597"/>
    <w:rsid w:val="00387112"/>
    <w:rsid w:val="003A0D71"/>
    <w:rsid w:val="003B6457"/>
    <w:rsid w:val="003C30CE"/>
    <w:rsid w:val="003C7A8B"/>
    <w:rsid w:val="003D0D2C"/>
    <w:rsid w:val="003E0880"/>
    <w:rsid w:val="003E6688"/>
    <w:rsid w:val="00434C42"/>
    <w:rsid w:val="00442707"/>
    <w:rsid w:val="00447BBF"/>
    <w:rsid w:val="00450282"/>
    <w:rsid w:val="004504DD"/>
    <w:rsid w:val="004801DF"/>
    <w:rsid w:val="00485827"/>
    <w:rsid w:val="00495A44"/>
    <w:rsid w:val="004A7845"/>
    <w:rsid w:val="0050154B"/>
    <w:rsid w:val="00513115"/>
    <w:rsid w:val="00526915"/>
    <w:rsid w:val="005376E7"/>
    <w:rsid w:val="00541D3F"/>
    <w:rsid w:val="00545426"/>
    <w:rsid w:val="0054670F"/>
    <w:rsid w:val="005475EB"/>
    <w:rsid w:val="0055038E"/>
    <w:rsid w:val="0055214F"/>
    <w:rsid w:val="005631AD"/>
    <w:rsid w:val="00585C14"/>
    <w:rsid w:val="005908DE"/>
    <w:rsid w:val="00597022"/>
    <w:rsid w:val="005A0CF1"/>
    <w:rsid w:val="005A3445"/>
    <w:rsid w:val="005B79B8"/>
    <w:rsid w:val="005D19C1"/>
    <w:rsid w:val="006003DD"/>
    <w:rsid w:val="00633F0D"/>
    <w:rsid w:val="0066597F"/>
    <w:rsid w:val="00674F26"/>
    <w:rsid w:val="0067659D"/>
    <w:rsid w:val="00692C99"/>
    <w:rsid w:val="00695DA1"/>
    <w:rsid w:val="006B3AB4"/>
    <w:rsid w:val="006B3CDA"/>
    <w:rsid w:val="006C0C21"/>
    <w:rsid w:val="006C406A"/>
    <w:rsid w:val="006D3933"/>
    <w:rsid w:val="00700D91"/>
    <w:rsid w:val="00711807"/>
    <w:rsid w:val="00723C5C"/>
    <w:rsid w:val="00724644"/>
    <w:rsid w:val="007334B8"/>
    <w:rsid w:val="00733C1E"/>
    <w:rsid w:val="00745790"/>
    <w:rsid w:val="00746837"/>
    <w:rsid w:val="0075721F"/>
    <w:rsid w:val="00757F9C"/>
    <w:rsid w:val="00760680"/>
    <w:rsid w:val="00780B05"/>
    <w:rsid w:val="0078464B"/>
    <w:rsid w:val="00784961"/>
    <w:rsid w:val="00796FF6"/>
    <w:rsid w:val="007A3278"/>
    <w:rsid w:val="007A414E"/>
    <w:rsid w:val="007B29F6"/>
    <w:rsid w:val="007C05B6"/>
    <w:rsid w:val="007C0E8A"/>
    <w:rsid w:val="007C3A32"/>
    <w:rsid w:val="007D330D"/>
    <w:rsid w:val="007D623F"/>
    <w:rsid w:val="007E6114"/>
    <w:rsid w:val="007E71A0"/>
    <w:rsid w:val="00830C78"/>
    <w:rsid w:val="008330FF"/>
    <w:rsid w:val="0084263E"/>
    <w:rsid w:val="00843D3A"/>
    <w:rsid w:val="00851E87"/>
    <w:rsid w:val="00852FEF"/>
    <w:rsid w:val="00854466"/>
    <w:rsid w:val="0086132B"/>
    <w:rsid w:val="008A1730"/>
    <w:rsid w:val="008B4A88"/>
    <w:rsid w:val="008D3996"/>
    <w:rsid w:val="008E1C94"/>
    <w:rsid w:val="008E5B8E"/>
    <w:rsid w:val="009105CF"/>
    <w:rsid w:val="00942B86"/>
    <w:rsid w:val="0094309A"/>
    <w:rsid w:val="00946772"/>
    <w:rsid w:val="00946784"/>
    <w:rsid w:val="00950360"/>
    <w:rsid w:val="009521F3"/>
    <w:rsid w:val="00954265"/>
    <w:rsid w:val="0096588D"/>
    <w:rsid w:val="00977D9D"/>
    <w:rsid w:val="00983397"/>
    <w:rsid w:val="00985682"/>
    <w:rsid w:val="00995791"/>
    <w:rsid w:val="009B432C"/>
    <w:rsid w:val="009B75BD"/>
    <w:rsid w:val="009E7C5A"/>
    <w:rsid w:val="009F12EF"/>
    <w:rsid w:val="00A45DF6"/>
    <w:rsid w:val="00A6044A"/>
    <w:rsid w:val="00A84AC7"/>
    <w:rsid w:val="00A87DB2"/>
    <w:rsid w:val="00A87EE1"/>
    <w:rsid w:val="00A93FAA"/>
    <w:rsid w:val="00AB1D65"/>
    <w:rsid w:val="00AB4B23"/>
    <w:rsid w:val="00AC22A0"/>
    <w:rsid w:val="00AC6473"/>
    <w:rsid w:val="00AC7A46"/>
    <w:rsid w:val="00AC7B37"/>
    <w:rsid w:val="00AE0A94"/>
    <w:rsid w:val="00AE7935"/>
    <w:rsid w:val="00AF21FB"/>
    <w:rsid w:val="00AF7111"/>
    <w:rsid w:val="00B07979"/>
    <w:rsid w:val="00B16971"/>
    <w:rsid w:val="00B33847"/>
    <w:rsid w:val="00B50BED"/>
    <w:rsid w:val="00B61DED"/>
    <w:rsid w:val="00B642FE"/>
    <w:rsid w:val="00B67CB3"/>
    <w:rsid w:val="00B80E82"/>
    <w:rsid w:val="00BA68F5"/>
    <w:rsid w:val="00BB2ABC"/>
    <w:rsid w:val="00BB5C42"/>
    <w:rsid w:val="00BC4408"/>
    <w:rsid w:val="00BE69F8"/>
    <w:rsid w:val="00C01FDC"/>
    <w:rsid w:val="00C21829"/>
    <w:rsid w:val="00C31333"/>
    <w:rsid w:val="00C420E0"/>
    <w:rsid w:val="00C541F0"/>
    <w:rsid w:val="00C545E0"/>
    <w:rsid w:val="00C575F4"/>
    <w:rsid w:val="00C726E1"/>
    <w:rsid w:val="00C95F8E"/>
    <w:rsid w:val="00CA5AD1"/>
    <w:rsid w:val="00CD204C"/>
    <w:rsid w:val="00CD7E75"/>
    <w:rsid w:val="00CE41B2"/>
    <w:rsid w:val="00D11EDD"/>
    <w:rsid w:val="00D20ADA"/>
    <w:rsid w:val="00D2441E"/>
    <w:rsid w:val="00D476CF"/>
    <w:rsid w:val="00D47C69"/>
    <w:rsid w:val="00D57102"/>
    <w:rsid w:val="00D63BB7"/>
    <w:rsid w:val="00D73C7F"/>
    <w:rsid w:val="00D80334"/>
    <w:rsid w:val="00D86EF9"/>
    <w:rsid w:val="00DC3152"/>
    <w:rsid w:val="00DC751D"/>
    <w:rsid w:val="00DD3113"/>
    <w:rsid w:val="00DE26CD"/>
    <w:rsid w:val="00DE2D3E"/>
    <w:rsid w:val="00DF1046"/>
    <w:rsid w:val="00DF6B30"/>
    <w:rsid w:val="00E27027"/>
    <w:rsid w:val="00E368A1"/>
    <w:rsid w:val="00E557D6"/>
    <w:rsid w:val="00E6479C"/>
    <w:rsid w:val="00E6638C"/>
    <w:rsid w:val="00E80761"/>
    <w:rsid w:val="00E80FDA"/>
    <w:rsid w:val="00E85B08"/>
    <w:rsid w:val="00E95A9A"/>
    <w:rsid w:val="00EC0D31"/>
    <w:rsid w:val="00EE2DCC"/>
    <w:rsid w:val="00EE3A32"/>
    <w:rsid w:val="00EE3EE7"/>
    <w:rsid w:val="00F14D49"/>
    <w:rsid w:val="00F16E1F"/>
    <w:rsid w:val="00F31BA4"/>
    <w:rsid w:val="00F3225B"/>
    <w:rsid w:val="00F36B77"/>
    <w:rsid w:val="00F63662"/>
    <w:rsid w:val="00F76270"/>
    <w:rsid w:val="00F77627"/>
    <w:rsid w:val="00F80C55"/>
    <w:rsid w:val="00F848EE"/>
    <w:rsid w:val="00F96189"/>
    <w:rsid w:val="00FA0829"/>
    <w:rsid w:val="00FA2272"/>
    <w:rsid w:val="00FA5FAB"/>
    <w:rsid w:val="00FB7170"/>
    <w:rsid w:val="00FC49F4"/>
    <w:rsid w:val="00FC7ADB"/>
    <w:rsid w:val="00FE3332"/>
    <w:rsid w:val="00FE68D3"/>
    <w:rsid w:val="00FF4482"/>
    <w:rsid w:val="01E53EB7"/>
    <w:rsid w:val="03865FB9"/>
    <w:rsid w:val="06BF3509"/>
    <w:rsid w:val="0D6231BC"/>
    <w:rsid w:val="0F3320FE"/>
    <w:rsid w:val="12810570"/>
    <w:rsid w:val="15B165EA"/>
    <w:rsid w:val="191B6F5C"/>
    <w:rsid w:val="1C350378"/>
    <w:rsid w:val="28F07F5E"/>
    <w:rsid w:val="29050BBB"/>
    <w:rsid w:val="2C4D2598"/>
    <w:rsid w:val="2C633439"/>
    <w:rsid w:val="30B92CAF"/>
    <w:rsid w:val="35DE268D"/>
    <w:rsid w:val="37027192"/>
    <w:rsid w:val="39F304BC"/>
    <w:rsid w:val="3E105BD7"/>
    <w:rsid w:val="3E723BC2"/>
    <w:rsid w:val="3F634EBE"/>
    <w:rsid w:val="45394A3E"/>
    <w:rsid w:val="454D4F00"/>
    <w:rsid w:val="45E73F69"/>
    <w:rsid w:val="4A505A5B"/>
    <w:rsid w:val="4B753E98"/>
    <w:rsid w:val="4D7F33D7"/>
    <w:rsid w:val="54D27FA3"/>
    <w:rsid w:val="59054688"/>
    <w:rsid w:val="5DDA4626"/>
    <w:rsid w:val="649951FD"/>
    <w:rsid w:val="67430925"/>
    <w:rsid w:val="691F44C8"/>
    <w:rsid w:val="6C032E73"/>
    <w:rsid w:val="6D9C476C"/>
    <w:rsid w:val="6E394DD4"/>
    <w:rsid w:val="7274163B"/>
    <w:rsid w:val="7473071B"/>
    <w:rsid w:val="76EB09C8"/>
    <w:rsid w:val="7AC27C1F"/>
    <w:rsid w:val="7B904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3"/>
    <w:qFormat/>
    <w:uiPriority w:val="0"/>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sz w:val="24"/>
    </w:rPr>
  </w:style>
  <w:style w:type="character" w:styleId="9">
    <w:name w:val="annotation reference"/>
    <w:basedOn w:val="8"/>
    <w:semiHidden/>
    <w:unhideWhenUsed/>
    <w:qFormat/>
    <w:uiPriority w:val="99"/>
    <w:rPr>
      <w:sz w:val="21"/>
      <w:szCs w:val="21"/>
    </w:rPr>
  </w:style>
  <w:style w:type="paragraph" w:styleId="10">
    <w:name w:val="List Paragraph"/>
    <w:basedOn w:val="1"/>
    <w:qFormat/>
    <w:uiPriority w:val="34"/>
    <w:pPr>
      <w:ind w:firstLine="420" w:firstLineChars="200"/>
    </w:pPr>
  </w:style>
  <w:style w:type="character" w:customStyle="1" w:styleId="11">
    <w:name w:val="页眉 字符"/>
    <w:basedOn w:val="8"/>
    <w:link w:val="5"/>
    <w:qFormat/>
    <w:uiPriority w:val="0"/>
    <w:rPr>
      <w:rFonts w:ascii="Times New Roman" w:hAnsi="Times New Roman" w:eastAsia="宋体" w:cs="Times New Roman"/>
      <w:kern w:val="2"/>
      <w:sz w:val="18"/>
      <w:szCs w:val="18"/>
    </w:rPr>
  </w:style>
  <w:style w:type="character" w:customStyle="1" w:styleId="12">
    <w:name w:val="页脚 字符"/>
    <w:basedOn w:val="8"/>
    <w:link w:val="4"/>
    <w:qFormat/>
    <w:uiPriority w:val="99"/>
    <w:rPr>
      <w:rFonts w:ascii="Times New Roman" w:hAnsi="Times New Roman" w:eastAsia="宋体" w:cs="Times New Roman"/>
      <w:kern w:val="2"/>
      <w:sz w:val="18"/>
      <w:szCs w:val="18"/>
    </w:rPr>
  </w:style>
  <w:style w:type="character" w:customStyle="1" w:styleId="13">
    <w:name w:val="批注框文本 字符"/>
    <w:basedOn w:val="8"/>
    <w:link w:val="3"/>
    <w:qFormat/>
    <w:uiPriority w:val="0"/>
    <w:rPr>
      <w:rFonts w:ascii="Times New Roman" w:hAnsi="Times New Roman" w:eastAsia="宋体" w:cs="Times New Roman"/>
      <w:kern w:val="2"/>
      <w:sz w:val="18"/>
      <w:szCs w:val="18"/>
    </w:rPr>
  </w:style>
  <w:style w:type="paragraph" w:customStyle="1" w:styleId="14">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678D6-8D65-44BC-910A-0E4FB501DBE3}">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14</Pages>
  <Words>6564</Words>
  <Characters>7051</Characters>
  <Lines>55</Lines>
  <Paragraphs>15</Paragraphs>
  <TotalTime>6</TotalTime>
  <ScaleCrop>false</ScaleCrop>
  <LinksUpToDate>false</LinksUpToDate>
  <CharactersWithSpaces>7146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2021-09-15T09:40:00Z</dcterms:created>
  <dc:creator>Administrator</dc:creator>
  <cp:lastModifiedBy>松松</cp:lastModifiedBy>
  <cp:lastPrinted>2025-05-13T09:59:00Z</cp:lastPrinted>
  <dcterms:modified xsi:type="dcterms:W3CDTF">2026-09-08T14:57:48Z</dcterms:modified>
  <cp:revision>215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F26FAAC2845A46E481B1BCDF694F4984_13</vt:lpwstr>
  </property>
  <property fmtid="{D5CDD505-2E9C-101B-9397-08002B2CF9AE}" pid="4" name="KSOTemplateDocerSaveRecord">
    <vt:lpwstr>eyJoZGlkIjoiNDE4ZTBlYWI1ZGJiZGQ1N2Y1OTZkNTA5OGViZGRiNjQiLCJ1c2VySWQiOiIzMDM3MzIzNjAifQ==</vt:lpwstr>
  </property>
</Properties>
</file>